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3BFC47" w14:textId="77777777" w:rsidR="003575F4" w:rsidRPr="00B11664" w:rsidRDefault="003575F4" w:rsidP="003575F4">
      <w:pPr>
        <w:pStyle w:val="Heading1"/>
        <w:spacing w:before="240" w:line="480" w:lineRule="auto"/>
        <w:rPr>
          <w:rFonts w:cs="Arial"/>
          <w:sz w:val="32"/>
        </w:rPr>
      </w:pPr>
      <w:r w:rsidRPr="00D338E6">
        <w:rPr>
          <w:rFonts w:cs="Arial"/>
        </w:rPr>
        <w:softHyphen/>
      </w:r>
    </w:p>
    <w:p w14:paraId="104A165F" w14:textId="77777777" w:rsidR="003575F4" w:rsidRDefault="00D62DA9" w:rsidP="003575F4">
      <w:pPr>
        <w:pStyle w:val="Heading1"/>
        <w:tabs>
          <w:tab w:val="left" w:pos="1980"/>
        </w:tabs>
        <w:spacing w:line="240" w:lineRule="auto"/>
        <w:ind w:left="1800"/>
        <w:rPr>
          <w:rFonts w:ascii="Arial" w:hAnsi="Arial" w:cs="Calibri"/>
          <w:sz w:val="30"/>
          <w:szCs w:val="30"/>
          <w:lang w:bidi="en-US"/>
        </w:rPr>
      </w:pPr>
      <w:r>
        <w:rPr>
          <w:noProof/>
          <w:sz w:val="28"/>
        </w:rPr>
        <mc:AlternateContent>
          <mc:Choice Requires="wps">
            <w:drawing>
              <wp:anchor distT="0" distB="0" distL="114300" distR="114300" simplePos="0" relativeHeight="251657728" behindDoc="0" locked="0" layoutInCell="1" allowOverlap="1" wp14:anchorId="3BC8648D" wp14:editId="11C63AAF">
                <wp:simplePos x="0" y="0"/>
                <wp:positionH relativeFrom="column">
                  <wp:posOffset>-1210310</wp:posOffset>
                </wp:positionH>
                <wp:positionV relativeFrom="paragraph">
                  <wp:posOffset>144780</wp:posOffset>
                </wp:positionV>
                <wp:extent cx="7835265" cy="1943100"/>
                <wp:effectExtent l="0" t="0" r="0" b="0"/>
                <wp:wrapTight wrapText="bothSides">
                  <wp:wrapPolygon edited="0">
                    <wp:start x="-26" y="0"/>
                    <wp:lineTo x="-26" y="21402"/>
                    <wp:lineTo x="21600" y="21402"/>
                    <wp:lineTo x="21600" y="0"/>
                    <wp:lineTo x="-26" y="0"/>
                  </wp:wrapPolygon>
                </wp:wrapTight>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835265" cy="1943100"/>
                        </a:xfrm>
                        <a:prstGeom prst="rect">
                          <a:avLst/>
                        </a:prstGeom>
                        <a:solidFill>
                          <a:srgbClr val="00598E">
                            <a:alpha val="71001"/>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B3AF82" w14:textId="77777777" w:rsidR="00767DBC" w:rsidRPr="00007040" w:rsidRDefault="00767DBC" w:rsidP="003575F4">
                            <w:pPr>
                              <w:suppressAutoHyphens/>
                              <w:rPr>
                                <w:rFonts w:ascii="Arial" w:hAnsi="Arial"/>
                                <w:color w:val="464847"/>
                                <w:sz w:val="56"/>
                              </w:rPr>
                            </w:pPr>
                          </w:p>
                          <w:p w14:paraId="2A60C0E1" w14:textId="5B63B76D" w:rsidR="00767DBC" w:rsidRDefault="006B59B3" w:rsidP="006B59B3">
                            <w:pPr>
                              <w:tabs>
                                <w:tab w:val="left" w:pos="3150"/>
                                <w:tab w:val="left" w:pos="3510"/>
                              </w:tabs>
                              <w:suppressAutoHyphens/>
                              <w:spacing w:before="360" w:line="680" w:lineRule="exact"/>
                              <w:ind w:left="3510" w:right="999"/>
                              <w:rPr>
                                <w:rFonts w:ascii="Arial" w:hAnsi="Arial"/>
                                <w:b/>
                                <w:color w:val="FFFFFF"/>
                                <w:sz w:val="56"/>
                              </w:rPr>
                            </w:pPr>
                            <w:r w:rsidRPr="006B59B3">
                              <w:rPr>
                                <w:rFonts w:ascii="Arial" w:hAnsi="Arial"/>
                                <w:b/>
                                <w:color w:val="FFFFFF"/>
                                <w:sz w:val="56"/>
                              </w:rPr>
                              <w:t>Model State Legislation Establishing Complete Streets</w:t>
                            </w:r>
                            <w:r w:rsidR="00767DBC" w:rsidRPr="00014FE6">
                              <w:rPr>
                                <w:rFonts w:ascii="Arial" w:hAnsi="Arial"/>
                                <w:b/>
                                <w:color w:val="FFFFFF"/>
                                <w:sz w:val="56"/>
                              </w:rPr>
                              <w:t xml:space="preserve"> </w:t>
                            </w:r>
                            <w:r w:rsidR="00767DBC" w:rsidRPr="00014FE6">
                              <w:rPr>
                                <w:rFonts w:ascii="Arial" w:hAnsi="Arial"/>
                                <w:b/>
                                <w:color w:val="FFFFFF"/>
                                <w:sz w:val="56"/>
                              </w:rPr>
                              <w:br/>
                            </w:r>
                          </w:p>
                          <w:p w14:paraId="5CD4497C" w14:textId="77777777" w:rsidR="00767DBC" w:rsidRPr="00007040" w:rsidRDefault="00767DBC" w:rsidP="003575F4">
                            <w:pPr>
                              <w:rPr>
                                <w:rFonts w:ascii="Arial" w:hAnsi="Arial"/>
                                <w:color w:val="464847"/>
                                <w:sz w:val="5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C8648D" id="_x0000_t202" coordsize="21600,21600" o:spt="202" path="m,l,21600r21600,l21600,xe">
                <v:stroke joinstyle="miter"/>
                <v:path gradientshapeok="t" o:connecttype="rect"/>
              </v:shapetype>
              <v:shape id="Text Box 11" o:spid="_x0000_s1026" type="#_x0000_t202" style="position:absolute;left:0;text-align:left;margin-left:-95.3pt;margin-top:11.4pt;width:616.95pt;height:15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" fillcolor="#00598e" stroked="f">
                <v:fill opacity="46517f"/>
                <v:path arrowok="t"/>
                <v:textbox inset="0,0,0,0">
                  <w:txbxContent>
                    <w:p w14:paraId="0AB3AF82" w14:textId="77777777" w:rsidR="00767DBC" w:rsidRPr="00007040" w:rsidRDefault="00767DBC" w:rsidP="003575F4">
                      <w:pPr>
                        <w:suppressAutoHyphens/>
                        <w:rPr>
                          <w:rFonts w:ascii="Arial" w:hAnsi="Arial"/>
                          <w:color w:val="464847"/>
                          <w:sz w:val="56"/>
                        </w:rPr>
                      </w:pPr>
                    </w:p>
                    <w:p w14:paraId="2A60C0E1" w14:textId="5B63B76D" w:rsidR="00767DBC" w:rsidRDefault="006B59B3" w:rsidP="006B59B3">
                      <w:pPr>
                        <w:tabs>
                          <w:tab w:val="left" w:pos="3150"/>
                          <w:tab w:val="left" w:pos="3510"/>
                        </w:tabs>
                        <w:suppressAutoHyphens/>
                        <w:spacing w:before="360" w:line="680" w:lineRule="exact"/>
                        <w:ind w:left="3510" w:right="999"/>
                        <w:rPr>
                          <w:rFonts w:ascii="Arial" w:hAnsi="Arial"/>
                          <w:b/>
                          <w:color w:val="FFFFFF"/>
                          <w:sz w:val="56"/>
                        </w:rPr>
                      </w:pPr>
                      <w:r w:rsidRPr="006B59B3">
                        <w:rPr>
                          <w:rFonts w:ascii="Arial" w:hAnsi="Arial"/>
                          <w:b/>
                          <w:color w:val="FFFFFF"/>
                          <w:sz w:val="56"/>
                        </w:rPr>
                        <w:t>Model State Legislation Establishing Complete Streets</w:t>
                      </w:r>
                      <w:r w:rsidR="00767DBC" w:rsidRPr="00014FE6">
                        <w:rPr>
                          <w:rFonts w:ascii="Arial" w:hAnsi="Arial"/>
                          <w:b/>
                          <w:color w:val="FFFFFF"/>
                          <w:sz w:val="56"/>
                        </w:rPr>
                        <w:t xml:space="preserve"> </w:t>
                      </w:r>
                      <w:r w:rsidR="00767DBC" w:rsidRPr="00014FE6">
                        <w:rPr>
                          <w:rFonts w:ascii="Arial" w:hAnsi="Arial"/>
                          <w:b/>
                          <w:color w:val="FFFFFF"/>
                          <w:sz w:val="56"/>
                        </w:rPr>
                        <w:br/>
                      </w:r>
                    </w:p>
                    <w:p w14:paraId="5CD4497C" w14:textId="77777777" w:rsidR="00767DBC" w:rsidRPr="00007040" w:rsidRDefault="00767DBC" w:rsidP="003575F4">
                      <w:pPr>
                        <w:rPr>
                          <w:rFonts w:ascii="Arial" w:hAnsi="Arial"/>
                          <w:color w:val="464847"/>
                          <w:sz w:val="56"/>
                        </w:rPr>
                      </w:pPr>
                    </w:p>
                  </w:txbxContent>
                </v:textbox>
                <w10:wrap type="tight"/>
              </v:shape>
            </w:pict>
          </mc:Fallback>
        </mc:AlternateContent>
      </w:r>
    </w:p>
    <w:p w14:paraId="0549078B" w14:textId="77777777" w:rsidR="003575F4" w:rsidRDefault="003575F4" w:rsidP="003575F4">
      <w:pPr>
        <w:pStyle w:val="Heading1"/>
        <w:tabs>
          <w:tab w:val="left" w:pos="1980"/>
        </w:tabs>
        <w:spacing w:line="240" w:lineRule="auto"/>
        <w:ind w:left="1800"/>
        <w:rPr>
          <w:rFonts w:ascii="Arial" w:hAnsi="Arial" w:cs="Calibri"/>
          <w:sz w:val="30"/>
          <w:szCs w:val="30"/>
          <w:lang w:bidi="en-US"/>
        </w:rPr>
      </w:pPr>
    </w:p>
    <w:p w14:paraId="5DB3087B" w14:textId="77777777" w:rsidR="003575F4" w:rsidRDefault="003575F4" w:rsidP="003575F4">
      <w:pPr>
        <w:suppressAutoHyphens/>
      </w:pPr>
    </w:p>
    <w:p w14:paraId="38593E3C" w14:textId="77777777" w:rsidR="003575F4" w:rsidRDefault="003575F4" w:rsidP="003575F4">
      <w:pPr>
        <w:pStyle w:val="NormalText"/>
        <w:widowControl/>
        <w:suppressAutoHyphens/>
        <w:ind w:left="1890" w:firstLine="0"/>
      </w:pPr>
    </w:p>
    <w:p w14:paraId="52B55EAF" w14:textId="77777777" w:rsidR="003575F4" w:rsidRDefault="003575F4" w:rsidP="003575F4">
      <w:pPr>
        <w:pStyle w:val="NormalText"/>
        <w:widowControl/>
        <w:suppressAutoHyphens/>
        <w:ind w:left="1890" w:firstLine="0"/>
      </w:pPr>
    </w:p>
    <w:p w14:paraId="12FE4614" w14:textId="77777777" w:rsidR="003575F4" w:rsidRDefault="003575F4" w:rsidP="003575F4">
      <w:pPr>
        <w:pStyle w:val="NormalText"/>
        <w:widowControl/>
        <w:suppressAutoHyphens/>
        <w:ind w:left="1890" w:firstLine="0"/>
      </w:pPr>
    </w:p>
    <w:p w14:paraId="3FD33353" w14:textId="77777777" w:rsidR="003575F4" w:rsidRDefault="003575F4" w:rsidP="003575F4">
      <w:pPr>
        <w:pStyle w:val="NormalText"/>
        <w:widowControl/>
        <w:suppressAutoHyphens/>
        <w:ind w:left="1890" w:firstLine="0"/>
      </w:pPr>
    </w:p>
    <w:p w14:paraId="2464CAA0" w14:textId="77777777" w:rsidR="003575F4" w:rsidRDefault="003575F4" w:rsidP="003575F4">
      <w:pPr>
        <w:pStyle w:val="NormalText"/>
        <w:widowControl/>
        <w:suppressAutoHyphens/>
        <w:ind w:left="1890" w:firstLine="0"/>
      </w:pPr>
    </w:p>
    <w:p w14:paraId="49BE1CF0" w14:textId="77777777" w:rsidR="003575F4" w:rsidRDefault="003575F4" w:rsidP="003575F4">
      <w:pPr>
        <w:pStyle w:val="NormalText"/>
        <w:widowControl/>
        <w:suppressAutoHyphens/>
        <w:ind w:left="1890" w:firstLine="0"/>
      </w:pPr>
    </w:p>
    <w:p w14:paraId="1D690199" w14:textId="77777777" w:rsidR="003575F4" w:rsidRDefault="003575F4" w:rsidP="003575F4">
      <w:pPr>
        <w:pStyle w:val="NormalText"/>
        <w:widowControl/>
        <w:suppressAutoHyphens/>
        <w:ind w:left="1890" w:firstLine="0"/>
      </w:pPr>
    </w:p>
    <w:p w14:paraId="606F1F53" w14:textId="77777777" w:rsidR="003575F4" w:rsidRDefault="003575F4" w:rsidP="003575F4">
      <w:pPr>
        <w:pStyle w:val="NormalText"/>
        <w:widowControl/>
        <w:suppressAutoHyphens/>
        <w:ind w:left="1890" w:firstLine="0"/>
      </w:pPr>
    </w:p>
    <w:p w14:paraId="22119DB4" w14:textId="77777777" w:rsidR="003575F4" w:rsidRDefault="003575F4" w:rsidP="003575F4">
      <w:pPr>
        <w:tabs>
          <w:tab w:val="left" w:pos="1530"/>
          <w:tab w:val="left" w:pos="1980"/>
        </w:tabs>
        <w:suppressAutoHyphens/>
        <w:ind w:left="2250" w:right="10"/>
        <w:rPr>
          <w:sz w:val="20"/>
        </w:rPr>
      </w:pPr>
    </w:p>
    <w:p w14:paraId="18DBC11C" w14:textId="77777777" w:rsidR="003575F4" w:rsidRDefault="003575F4" w:rsidP="003575F4">
      <w:pPr>
        <w:tabs>
          <w:tab w:val="left" w:pos="1530"/>
          <w:tab w:val="left" w:pos="1980"/>
        </w:tabs>
        <w:suppressAutoHyphens/>
        <w:ind w:left="2250" w:right="10"/>
        <w:rPr>
          <w:sz w:val="20"/>
        </w:rPr>
      </w:pPr>
    </w:p>
    <w:p w14:paraId="1E281C8B" w14:textId="77777777" w:rsidR="0067141A" w:rsidRPr="0067141A" w:rsidRDefault="0067141A" w:rsidP="0067141A">
      <w:pPr>
        <w:pStyle w:val="disclamerbox"/>
        <w:framePr w:w="7736" w:h="3485" w:hRule="exact" w:wrap="around" w:hAnchor="page" w:x="3482" w:y="389"/>
        <w:pBdr>
          <w:top w:val="single" w:sz="2" w:space="6" w:color="D9D9D9"/>
          <w:left w:val="single" w:sz="2" w:space="6" w:color="D9D9D9"/>
          <w:bottom w:val="single" w:sz="2" w:space="6" w:color="D9D9D9"/>
          <w:right w:val="single" w:sz="2" w:space="6" w:color="D9D9D9"/>
        </w:pBdr>
        <w:tabs>
          <w:tab w:val="left" w:pos="1530"/>
          <w:tab w:val="left" w:pos="2340"/>
        </w:tabs>
        <w:spacing w:after="120"/>
        <w:ind w:left="0"/>
        <w:rPr>
          <w:kern w:val="28"/>
        </w:rPr>
      </w:pPr>
      <w:r w:rsidRPr="0067141A">
        <w:rPr>
          <w:kern w:val="28"/>
        </w:rPr>
        <w:t xml:space="preserve">If you have questions about how to adapt </w:t>
      </w:r>
      <w:proofErr w:type="spellStart"/>
      <w:r w:rsidRPr="0067141A">
        <w:rPr>
          <w:kern w:val="28"/>
        </w:rPr>
        <w:t>ChangeLab</w:t>
      </w:r>
      <w:proofErr w:type="spellEnd"/>
      <w:r w:rsidRPr="0067141A">
        <w:rPr>
          <w:kern w:val="28"/>
        </w:rPr>
        <w:t xml:space="preserve"> Solutions’ model legislation for your state, please contact us at </w:t>
      </w:r>
      <w:r w:rsidRPr="0067141A">
        <w:rPr>
          <w:color w:val="00598D"/>
          <w:kern w:val="28"/>
        </w:rPr>
        <w:t>www.changelabsolutions.org/changelab-solutions-contact-us</w:t>
      </w:r>
      <w:r w:rsidRPr="0067141A">
        <w:rPr>
          <w:kern w:val="28"/>
        </w:rPr>
        <w:t xml:space="preserve">. Other Complete Streets resources can be found at </w:t>
      </w:r>
      <w:r w:rsidRPr="0067141A">
        <w:rPr>
          <w:color w:val="00598D"/>
          <w:kern w:val="28"/>
        </w:rPr>
        <w:t>www.changelabsolutions.org/publications/what-are-complete-streets</w:t>
      </w:r>
      <w:r w:rsidRPr="0067141A">
        <w:rPr>
          <w:kern w:val="28"/>
        </w:rPr>
        <w:t>.</w:t>
      </w:r>
    </w:p>
    <w:p w14:paraId="03DBC49C" w14:textId="77777777" w:rsidR="0067141A" w:rsidRPr="0067141A" w:rsidRDefault="0067141A" w:rsidP="0067141A">
      <w:pPr>
        <w:pStyle w:val="disclamerbox"/>
        <w:framePr w:w="7736" w:h="3485" w:hRule="exact" w:wrap="around" w:hAnchor="page" w:x="3482" w:y="389"/>
        <w:pBdr>
          <w:top w:val="single" w:sz="2" w:space="6" w:color="D9D9D9"/>
          <w:left w:val="single" w:sz="2" w:space="6" w:color="D9D9D9"/>
          <w:bottom w:val="single" w:sz="2" w:space="6" w:color="D9D9D9"/>
          <w:right w:val="single" w:sz="2" w:space="6" w:color="D9D9D9"/>
        </w:pBdr>
        <w:tabs>
          <w:tab w:val="left" w:pos="1530"/>
          <w:tab w:val="left" w:pos="2340"/>
        </w:tabs>
        <w:spacing w:after="120"/>
        <w:ind w:left="0"/>
        <w:rPr>
          <w:kern w:val="28"/>
        </w:rPr>
      </w:pPr>
      <w:proofErr w:type="spellStart"/>
      <w:r w:rsidRPr="0067141A">
        <w:rPr>
          <w:kern w:val="28"/>
        </w:rPr>
        <w:t>ChangeLab</w:t>
      </w:r>
      <w:proofErr w:type="spellEnd"/>
      <w:r w:rsidRPr="0067141A">
        <w:rPr>
          <w:kern w:val="28"/>
        </w:rPr>
        <w:t xml:space="preserve"> Solutions is a nonprofit organization that provides legal and policy information on matters relating to public health. Any legal information in this document does not constitute legal advice or legal representation. For legal advice, readers should consult a lawyer in their state. </w:t>
      </w:r>
    </w:p>
    <w:p w14:paraId="21124C6C" w14:textId="50485CD3" w:rsidR="0067141A" w:rsidRDefault="0067141A" w:rsidP="0067141A">
      <w:pPr>
        <w:pStyle w:val="disclamerbox"/>
        <w:framePr w:w="7736" w:h="3485" w:hRule="exact" w:wrap="around" w:hAnchor="page" w:x="3482" w:y="389"/>
        <w:pBdr>
          <w:top w:val="single" w:sz="2" w:space="6" w:color="D9D9D9"/>
          <w:left w:val="single" w:sz="2" w:space="6" w:color="D9D9D9"/>
          <w:bottom w:val="single" w:sz="2" w:space="6" w:color="D9D9D9"/>
          <w:right w:val="single" w:sz="2" w:space="6" w:color="D9D9D9"/>
        </w:pBdr>
        <w:tabs>
          <w:tab w:val="left" w:pos="1530"/>
          <w:tab w:val="left" w:pos="2340"/>
        </w:tabs>
        <w:spacing w:after="120"/>
        <w:ind w:left="0"/>
        <w:rPr>
          <w:kern w:val="28"/>
        </w:rPr>
      </w:pPr>
      <w:r w:rsidRPr="0067141A">
        <w:rPr>
          <w:kern w:val="28"/>
        </w:rPr>
        <w:t xml:space="preserve">Support for this </w:t>
      </w:r>
      <w:r w:rsidR="004619FD">
        <w:rPr>
          <w:kern w:val="28"/>
        </w:rPr>
        <w:t>product</w:t>
      </w:r>
      <w:r w:rsidRPr="0067141A">
        <w:rPr>
          <w:kern w:val="28"/>
        </w:rPr>
        <w:t xml:space="preserve"> was provided by the Robert Wood Johnson Foundation. The views expressed here do not necessarily reflect the views of the Foundation. </w:t>
      </w:r>
    </w:p>
    <w:p w14:paraId="560A841B" w14:textId="77777777" w:rsidR="0067141A" w:rsidRDefault="0067141A" w:rsidP="0067141A">
      <w:pPr>
        <w:pStyle w:val="disclamerbox"/>
        <w:framePr w:w="7736" w:h="3485" w:hRule="exact" w:wrap="around" w:hAnchor="page" w:x="3482" w:y="389"/>
        <w:pBdr>
          <w:top w:val="single" w:sz="2" w:space="6" w:color="D9D9D9"/>
          <w:left w:val="single" w:sz="2" w:space="6" w:color="D9D9D9"/>
          <w:bottom w:val="single" w:sz="2" w:space="6" w:color="D9D9D9"/>
          <w:right w:val="single" w:sz="2" w:space="6" w:color="D9D9D9"/>
        </w:pBdr>
        <w:tabs>
          <w:tab w:val="left" w:pos="1530"/>
          <w:tab w:val="left" w:pos="2340"/>
        </w:tabs>
        <w:spacing w:after="120"/>
        <w:ind w:left="0"/>
        <w:rPr>
          <w:kern w:val="28"/>
        </w:rPr>
      </w:pPr>
      <w:r>
        <w:rPr>
          <w:kern w:val="28"/>
        </w:rPr>
        <w:t>November 2018</w:t>
      </w:r>
    </w:p>
    <w:p w14:paraId="6C7AD47A" w14:textId="77777777" w:rsidR="0067141A" w:rsidRPr="00D53B20" w:rsidRDefault="0067141A" w:rsidP="0067141A">
      <w:pPr>
        <w:pStyle w:val="disclamerbox"/>
        <w:framePr w:w="7736" w:h="3485" w:hRule="exact" w:wrap="around" w:hAnchor="page" w:x="3482" w:y="389"/>
        <w:pBdr>
          <w:top w:val="single" w:sz="2" w:space="6" w:color="D9D9D9"/>
          <w:left w:val="single" w:sz="2" w:space="6" w:color="D9D9D9"/>
          <w:bottom w:val="single" w:sz="2" w:space="6" w:color="D9D9D9"/>
          <w:right w:val="single" w:sz="2" w:space="6" w:color="D9D9D9"/>
        </w:pBdr>
        <w:tabs>
          <w:tab w:val="left" w:pos="1530"/>
          <w:tab w:val="left" w:pos="2340"/>
        </w:tabs>
        <w:spacing w:after="120"/>
        <w:ind w:left="0"/>
        <w:rPr>
          <w:kern w:val="28"/>
        </w:rPr>
      </w:pPr>
      <w:r w:rsidRPr="00007040">
        <w:rPr>
          <w:kern w:val="28"/>
        </w:rPr>
        <w:t>© 201</w:t>
      </w:r>
      <w:r>
        <w:rPr>
          <w:kern w:val="28"/>
        </w:rPr>
        <w:t xml:space="preserve">8 </w:t>
      </w:r>
      <w:proofErr w:type="spellStart"/>
      <w:r w:rsidRPr="00007040">
        <w:rPr>
          <w:kern w:val="28"/>
        </w:rPr>
        <w:t>ChangeLab</w:t>
      </w:r>
      <w:proofErr w:type="spellEnd"/>
      <w:r w:rsidRPr="00007040">
        <w:rPr>
          <w:kern w:val="28"/>
        </w:rPr>
        <w:t xml:space="preserve"> Solutions</w:t>
      </w:r>
    </w:p>
    <w:p w14:paraId="418C03EC" w14:textId="77777777" w:rsidR="003575F4" w:rsidRDefault="003575F4" w:rsidP="003575F4">
      <w:pPr>
        <w:tabs>
          <w:tab w:val="left" w:pos="1530"/>
          <w:tab w:val="left" w:pos="1980"/>
        </w:tabs>
        <w:suppressAutoHyphens/>
        <w:ind w:left="2250" w:right="10"/>
        <w:rPr>
          <w:sz w:val="20"/>
        </w:rPr>
      </w:pPr>
    </w:p>
    <w:p w14:paraId="21218F7F" w14:textId="77777777" w:rsidR="003575F4" w:rsidRDefault="003575F4" w:rsidP="003575F4">
      <w:pPr>
        <w:tabs>
          <w:tab w:val="left" w:pos="1530"/>
          <w:tab w:val="left" w:pos="1980"/>
        </w:tabs>
        <w:suppressAutoHyphens/>
        <w:ind w:left="2250" w:right="10"/>
        <w:rPr>
          <w:sz w:val="20"/>
        </w:rPr>
      </w:pPr>
    </w:p>
    <w:p w14:paraId="1F8AC219" w14:textId="77777777" w:rsidR="003575F4" w:rsidRDefault="003575F4" w:rsidP="003575F4">
      <w:pPr>
        <w:pStyle w:val="nPlancovertext"/>
        <w:tabs>
          <w:tab w:val="left" w:pos="1980"/>
        </w:tabs>
        <w:ind w:left="2250" w:right="10"/>
        <w:rPr>
          <w:sz w:val="28"/>
        </w:rPr>
      </w:pPr>
    </w:p>
    <w:p w14:paraId="2944ED15" w14:textId="77777777" w:rsidR="003575F4" w:rsidRDefault="003575F4" w:rsidP="003575F4">
      <w:pPr>
        <w:jc w:val="center"/>
        <w:rPr>
          <w:b/>
        </w:rPr>
      </w:pPr>
    </w:p>
    <w:p w14:paraId="59E4FD55" w14:textId="09F007F1" w:rsidR="003575F4" w:rsidRPr="00776769" w:rsidRDefault="00F108F6" w:rsidP="00F108F6">
      <w:pPr>
        <w:pStyle w:val="Heading2"/>
      </w:pPr>
      <w:r w:rsidRPr="00F108F6">
        <w:lastRenderedPageBreak/>
        <w:t>What are Complete St</w:t>
      </w:r>
      <w:r w:rsidRPr="0067141A">
        <w:t>reets</w:t>
      </w:r>
      <w:r w:rsidRPr="00F108F6">
        <w:t>?</w:t>
      </w:r>
    </w:p>
    <w:p w14:paraId="77A13923" w14:textId="08415FCE" w:rsidR="00D62DA9" w:rsidRDefault="00D62DA9" w:rsidP="00321DBD">
      <w:pPr>
        <w:pStyle w:val="BasicParagraph"/>
      </w:pPr>
      <w:r w:rsidRPr="00321DBD">
        <w:t xml:space="preserve">Complete Streets are planned, designed, built, and maintained to serve all people who use streets. They are developed for individuals of all ages, abilities, and income levels, including people walking, bicycling, taking transit, and driving. Today, most of our streets are designed primarily to move automobiles, with few features that support safe travel for people walking, bicycling, using mobility aids, or taking transit. A Complete Streets policy can change how decisions about street design are made, shifting the priority to ensuring people of all ages and abilities, using multiple transportation modes, can get around safely and easily. The purpose of Complete Streets is to design streets for all people. </w:t>
      </w:r>
    </w:p>
    <w:p w14:paraId="4F050FC4" w14:textId="77777777" w:rsidR="00321DBD" w:rsidRPr="00321DBD" w:rsidRDefault="00321DBD" w:rsidP="00321DBD">
      <w:pPr>
        <w:pStyle w:val="BasicParagraph"/>
      </w:pPr>
    </w:p>
    <w:p w14:paraId="7F19EC6C" w14:textId="77777777" w:rsidR="00D62DA9" w:rsidRPr="00F108F6" w:rsidRDefault="00D62DA9" w:rsidP="000831C6">
      <w:pPr>
        <w:pStyle w:val="BasicParagraph"/>
        <w:spacing w:after="60"/>
        <w:rPr>
          <w:b/>
        </w:rPr>
      </w:pPr>
      <w:r w:rsidRPr="00F108F6">
        <w:rPr>
          <w:b/>
        </w:rPr>
        <w:t>Why introduce a state Complete Streets legislation?</w:t>
      </w:r>
    </w:p>
    <w:p w14:paraId="208FDD0D" w14:textId="458CD05E" w:rsidR="00D62DA9" w:rsidRPr="00321DBD" w:rsidRDefault="00D62DA9" w:rsidP="00321DBD">
      <w:pPr>
        <w:pStyle w:val="BasicParagraph"/>
      </w:pPr>
      <w:r w:rsidRPr="00321DBD">
        <w:t>By adopting</w:t>
      </w:r>
      <w:r w:rsidR="004619FD">
        <w:t xml:space="preserve"> state-level </w:t>
      </w:r>
      <w:r w:rsidRPr="004619FD">
        <w:t>Complete Streets</w:t>
      </w:r>
      <w:r w:rsidR="004619FD" w:rsidRPr="004619FD">
        <w:t xml:space="preserve"> legislation</w:t>
      </w:r>
      <w:r w:rsidRPr="00321DBD">
        <w:t>, a state can promote street design and land use that enable safe access for all people, including pedestrians, bicyclists, motorists, and transit riders of all ages and abilities. Integrating Complete Streets practices through state legislation can help encourage safe and active transportation, reduce greenhouse gas emissions from tailpipes, decrease traffic conflicts and collisions, and ensure that changes are sustained over the long term.</w:t>
      </w:r>
    </w:p>
    <w:p w14:paraId="4A201244" w14:textId="77777777" w:rsidR="00D62DA9" w:rsidRPr="00321DBD" w:rsidRDefault="00D62DA9" w:rsidP="00321DBD">
      <w:pPr>
        <w:pStyle w:val="BasicParagraph"/>
      </w:pPr>
    </w:p>
    <w:p w14:paraId="4B698CAD" w14:textId="103AB94F" w:rsidR="00D62DA9" w:rsidRDefault="00D62DA9" w:rsidP="00321DBD">
      <w:pPr>
        <w:pStyle w:val="BasicParagraph"/>
      </w:pPr>
      <w:r w:rsidRPr="00321DBD">
        <w:t>Some states might rely on their state department of transportation (DOT) to adopt a Complete Streets policy rather than adopt a state legislation. However, while a state DOT policy can sometimes achieve the same results as a state law, agency policies lack the stable underpinning provided by a state law. An agency can modify or revoke its policies at any time; state laws, in contrast, remain in effect unless they are invalidated by a court or changed by subsequent law.</w:t>
      </w:r>
    </w:p>
    <w:p w14:paraId="37E3BCC7" w14:textId="77777777" w:rsidR="00321DBD" w:rsidRPr="00321DBD" w:rsidRDefault="00321DBD" w:rsidP="00321DBD">
      <w:pPr>
        <w:pStyle w:val="BasicParagraph"/>
      </w:pPr>
    </w:p>
    <w:p w14:paraId="2B4697C0" w14:textId="77777777" w:rsidR="00D62DA9" w:rsidRPr="00F108F6" w:rsidRDefault="00D62DA9" w:rsidP="000831C6">
      <w:pPr>
        <w:pStyle w:val="BasicParagraph"/>
        <w:spacing w:after="60"/>
        <w:rPr>
          <w:b/>
        </w:rPr>
      </w:pPr>
      <w:r w:rsidRPr="00F108F6">
        <w:rPr>
          <w:b/>
        </w:rPr>
        <w:t>What’s the health imperative?</w:t>
      </w:r>
    </w:p>
    <w:p w14:paraId="4E385E7E" w14:textId="691089F7" w:rsidR="00D62DA9" w:rsidRPr="00321DBD" w:rsidRDefault="00D62DA9" w:rsidP="00321DBD">
      <w:pPr>
        <w:pStyle w:val="BasicParagraph"/>
      </w:pPr>
      <w:r w:rsidRPr="00321DBD">
        <w:t>Complete Streets have been shown to contribute to a number of improvements in health, economic, environmental, and equity outcomes. By making street design safer for all people, Complete Streets improve public health and safety by reducing the risk of injuries and fatalities from traffic collisions</w:t>
      </w:r>
      <w:r w:rsidR="007D3DF1">
        <w:t>.</w:t>
      </w:r>
      <w:r w:rsidRPr="007D3DF1">
        <w:rPr>
          <w:vertAlign w:val="superscript"/>
        </w:rPr>
        <w:fldChar w:fldCharType="begin" w:fldLock="1"/>
      </w:r>
      <w:r w:rsidRPr="007D3DF1">
        <w:rPr>
          <w:vertAlign w:val="superscript"/>
        </w:rPr>
        <w:instrText>ADDIN CSL_CITATION { "citationItems" : [ { "id" : "ITEM-1", "itemData" : { "author" : [ { "dropping-particle" : "", "family" : "New York City Department of Transportation", "given" : "", "non-dropping-particle" : "", "parse-names" : false, "suffix" : "" } ], "id" : "ITEM-1", "issue" : "September", "issued" : { "date-parts" : [ [ "2014" ] ] }, "publisher-place" : "New York City, NY", "title" : "Protected Bicycle Lanes in NYC", "type" : "report" }, "uris" : [ "http://www.mendeley.com/documents/?uuid=76f246ba-a120-448e-a7ec-63bb701736a3" ] }, { "id" : "ITEM-2", "itemData" : { "author" : [ { "dropping-particle" : "", "family" : "Health Resources in Action", "given" : "", "non-dropping-particle" : "", "parse-names" : false, "suffix" : "" } ], "id" : "ITEM-2", "issue" : "December", "issued" : { "date-parts" : [ [ "2013" ] ] }, "number-of-pages" : "1-8", "publisher-place" : "Boston, MA", "title" : "Public Health Impact: Community Speed Reduction", "type" : "report" }, "uris" : [ "http://www.mendeley.com/documents/?uuid=9c1a5a21-686f-4fbc-9d5b-9737b17c9db9" ] }, { "id" : "ITEM-3", "itemData" : { "author" : [ { "dropping-particle" : "", "family" : "New York City Department of Transportation", "given" : "", "non-dropping-particle" : "", "parse-names" : false, "suffix" : "" } ], "id" : "ITEM-3", "issue" : "November", "issued" : { "date-parts" : [ [ "2013" ] ] }, "number-of-pages" : "1-30", "publisher-place" : "New York City, NY", "title" : "Making safer streets", "type" : "report" }, "uris" : [ "http://www.mendeley.com/documents/?uuid=1e2c187c-3c46-4cc3-aed7-958dd65da560" ] }, { "id" : "ITEM-4", "itemData" : { "URL" : "www.peopleforbikes.org/blog/entry/car-users-would-prefer-separated-bike-lanes-too-study-finds", "accessed" : { "date-parts" : [ [ "2015", "6", "3" ] ] }, "author" : [ { "dropping-particle" : "", "family" : "Andersen", "given" : "Michael", "non-dropping-particle" : "", "parse-names" : false, "suffix" : "" } ], "id" : "ITEM-4", "issued" : { "date-parts" : [ [ "0" ] ] }, "title" : "Car Users Would Prefer Separated Bike Lanes Too, Study Finds. People for Bikes website.", "type" : "webpage" }, "uris" : [ "http://www.mendeley.com/documents/?uuid=a51a1fd4-028f-4f9d-8417-8ede888ecbe9" ] }, { "id" : "ITEM-5", "itemData" : { "author" : [ { "dropping-particle" : "", "family" : "National Complete Streets Coalition", "given" : "", "non-dropping-particle" : "", "parse-names" : false, "suffix" : "" }, { "dropping-particle" : "", "family" : "Local Government Commission", "given" : "", "non-dropping-particle" : "", "parse-names" : false, "suffix" : "" } ], "id" : "ITEM-5", "issued" : { "date-parts" : [ [ "2012" ] ] }, "publisher-place" : "Sacramento, CA", "title" : "It's a Safe Decision, Complete Streets in California", "type" : "report" }, "uris" : [ "http://www.mendeley.com/documents/?uuid=650448a7-5b61-433b-a736-84d208b78aa9" ] }, { "id" : "ITEM-6", "itemData" : { "DOI" : "10.2105/AJPH.2012.300762", "ISBN" : "1541-0048", "ISSN" : "00900036", "PMID" : "23078480", "abstract" : "OBJECTIVES: We compared cycling injury risks of 14 route types and other route infrastructure features. METHODS: We recruited 690 city residents injured while cycling in Toronto or Vancouver, Canada. A case-crossover design compared route infrastructure at each injury site to that of a randomly selected control site from the same trip. RESULTS: Of 14 route types, cycle tracks had the lowest risk (adjusted odds ratio [OR] = 0.11; 95% confidence interval [CI] = 0.02, 0.54), about one ninth the risk of the reference: major streets with parked cars and no bike infrastructure. Risks on major streets were lower without parked cars (adjusted OR = 0.63; 95% CI = 0.41, 0.96) and with bike lanes (adjusted OR = 0.54; 95% CI = 0.29, 1.01). Local streets also had lower risks (adjusted OR = 0.51; 95% CI = 0.31, 0.84). Other infrastructure characteristics were associated with increased risks: streetcar or train tracks (adjusted OR = 3.0; 95% CI = 1.8, 5.1), downhill grades (adjusted OR = 2.3; 95% CI = 1.7, 3.1), and construction (adjusted OR = 1.9; 95% CI = 1.3, 2.9). CONCLUSIONS: The lower risks on quiet streets and with bike-specific infrastructure along busy streets support the route-design approach used in many northern European countries. Transportation infrastructure with lower bicycling injury risks merits public health support to reduce injuries and promote cycling.", "author" : [ { "dropping-particle" : "", "family" : "Teschke", "given" : "Kay", "non-dropping-particle" : "", "parse-names" : false, "suffix" : "" }, { "dropping-particle" : "", "family" : "Harris", "given" : "M. Anne", "non-dropping-particle" : "", "parse-names" : false, "suffix" : "" }, { "dropping-particle" : "", "family" : "Reynolds", "given" : "Conor", "non-dropping-particle" : "", "parse-names" : false, "suffix" : "" }, { "dropping-particle" : "", "family" : "Winters", "given" : "Meghan", "non-dropping-particle" : "", "parse-names" : false, "suffix" : "" }, { "dropping-particle" : "", "family" : "Babul", "given" : "Shelina", "non-dropping-particle" : "", "parse-names" : false, "suffix" : "" }, { "dropping-particle" : "", "family" : "Chipman", "given" : "Mary", "non-dropping-particle" : "", "parse-names" : false, "suffix" : "" }, { "dropping-particle" : "", "family" : "Cusimano", "given" : "Michael", "non-dropping-particle" : "", "parse-names" : false, "suffix" : "" }, { "dropping-particle" : "", "family" : "Brubacher", "given" : "Jeff", "non-dropping-particle" : "", "parse-names" : false, "suffix" : "" }, { "dropping-particle" : "", "family" : "Hunte", "given" : "Garth", "non-dropping-particle" : "", "parse-names" : false, "suffix" : "" }, { "dropping-particle" : "", "family" : "Friedman", "given" : "Steven", "non-dropping-particle" : "", "parse-names" : false, "suffix" : "" }, { "dropping-particle" : "", "family" : "Monro", "given" : "Melody", "non-dropping-particle" : "", "parse-names" : false, "suffix" : "" }, { "dropping-particle" : "", "family" : "Shen", "given" : "Hui", "non-dropping-particle" : "", "parse-names" : false, "suffix" : "" }, { "dropping-particle" : "", "family" : "Vernich", "given" : "Lee", "non-dropping-particle" : "", "parse-names" : false, "suffix" : "" }, { "dropping-particle" : "", "family" : "Cripton", "given" : "Peter", "non-dropping-particle" : "", "parse-names" : false, "suffix" : "" } ], "container-title" : "American Journal of Public Health", "id" : "ITEM-6", "issue" : "12", "issued" : { "date-parts" : [ [ "2012" ] ] }, "page" : "2336-2343", "title" : "Route infrastructure and the risk of injuries to bicyclists: a case-crossover study", "type" : "article-journal", "volume" : "102" }, "uris" : [ "http://www.mendeley.com/documents/?uuid=47a806b1-dd61-4e4c-9e9c-9524ecabcb20" ] }, { "id" : "ITEM-7", "itemData" : { "author" : [ { "dropping-particle" : "", "family" : "New York City Department of Transportation", "given" : "", "non-dropping-particle" : "", "parse-names" : false, "suffix" : "" } ], "id" : "ITEM-7", "issued" : { "date-parts" : [ [ "2012" ] ] }, "publisher-place" : "New York City, NY", "title" : "Measuring the Street: New Metrics for 21st Century Streets", "type" : "report" }, "uris" : [ "http://www.mendeley.com/documents/?uuid=c4113062-f623-468c-b1e6-182fc82f5495" ] }, { "id" : "ITEM-8", "itemData" : { "author" : [ { "dropping-particle" : "", "family" : "National Complete Streets Coalition", "given" : "", "non-dropping-particle" : "", "parse-names" : false, "suffix" : "" }, { "dropping-particle" : "", "family" : "Smart Growth America", "given" : "", "non-dropping-particle" : "", "parse-names" : false, "suffix" : "" } ], "id" : "ITEM-8", "issued" : { "date-parts" : [ [ "2009" ] ] }, "publisher-place" : "Washington, D.C.", "title" : "Complete Streets Improve Safety", "type" : "report" }, "uris" : [ "http://www.mendeley.com/documents/?uuid=a03e0fcf-d9b3-4dc8-9b08-2ee3a00a6da5" ] }, { "id" : "ITEM-9", "itemData" : { "DOI" : "10.1186/1476-069X-8-47", "ISBN" : "1476-069X", "ISSN" : "1476-069X", "PMID" : "19845962", "abstract" : "BACKGROUND: Bicycling has the potential to improve fitness, diminish obesity, and reduce noise, air pollution, and greenhouse gases associated with travel. However, bicyclists incur a higher risk of injuries requiring hospitalization than motor vehicle occupants. Therefore, understanding ways of making bicycling safer and increasing rates of bicycling are important to improving population health. There is a growing body of research examining transportation infrastructure and the risk of injury to bicyclists. METHODS: We reviewed studies of the impact of transportation infrastructure on bicyclist safety. The results were tabulated within two categories of infrastructure, namely that at intersections (e.g. roundabouts, traffic lights) or between intersections on \"straightaways\" (e.g. bike lanes or paths). To assess safety, studies examining the following outcomes were included: injuries; injury severity; and crashes (collisions and/or falls). RESULTS: The literature to date on transportation infrastructure and cyclist safety is limited by the incomplete range of facilities studied and difficulties in controlling for exposure to risk. However, evidence from the 23 papers reviewed (eight that examined intersections and 15 that examined straightaways) suggests that infrastructure influences injury and crash risk. Intersection studies focused mainly on roundabouts. They found that multi-lane roundabouts can significantly increase risk to bicyclists unless a separated cycle track is included in the design. Studies of straightaways grouped facilities into few categories, such that facilities with potentially different risks may have been classified within a single category. Results to date suggest that sidewalks and multi-use trails pose the highest risk, major roads are more hazardous than minor roads, and the presence of bicycle facilities (e.g. on-road bike routes, on-road marked bike lanes, and off-road bike paths) was associated with the lowest risk. CONCLUSION: Evidence is beginning to accumulate that purpose-built bicycle-specific facilities reduce crashes and injuries among cyclists, providing the basis for initial transportation engineering guidelines for cyclist safety. Street lighting, paved surfaces, and low-angled grades are additional factors that appear to improve cyclist safety. Future research examining a greater variety of infrastructure would allow development of more detailed guidelines.", "author" : [ { "dropping-particle" : "", "family" : "Reynolds", "given" : "Conor", "non-dropping-particle" : "", "parse-names" : false, "suffix" : "" }, { "dropping-particle" : "", "family" : "Harris", "given" : "M Anne", "non-dropping-particle" : "", "parse-names" : false, "suffix" : "" }, { "dropping-particle" : "", "family" : "Teschke", "given" : "Kay", "non-dropping-particle" : "", "parse-names" : false, "suffix" : "" }, { "dropping-particle" : "", "family" : "Cripton", "given" : "Peter", "non-dropping-particle" : "", "parse-names" : false, "suffix" : "" }, { "dropping-particle" : "", "family" : "Winters", "given" : "Meghan", "non-dropping-particle" : "", "parse-names" : false, "suffix" : "" } ], "container-title" : "Environmental Health", "id" : "ITEM-9", "issue" : "47", "issued" : { "date-parts" : [ [ "2009" ] ] }, "page" : "1-19", "title" : "The impact of transportation infrastructure on bicycling injuries and crashes: a review of the literature", "type" : "article-journal", "volume" : "8" }, "uris" : [ "http://www.mendeley.com/documents/?uuid=4a932ded-1831-4ea5-9c17-bf9c0369f107" ] } ], "mendeley" : { "formattedCitation" : "&lt;sup&gt;1,2,18\u201324&lt;/sup&gt;", "plainTextFormattedCitation" : "1,2,18\u201324", "previouslyFormattedCitation" : "&lt;sup&gt;1,2,18\u201324&lt;/sup&gt;" }, "properties" : { "noteIndex" : 0 }, "schema" : "https://github.com/citation-style-language/schema/raw/master/csl-citation.json" }</w:instrText>
      </w:r>
      <w:r w:rsidRPr="007D3DF1">
        <w:rPr>
          <w:vertAlign w:val="superscript"/>
        </w:rPr>
        <w:fldChar w:fldCharType="separate"/>
      </w:r>
      <w:r w:rsidRPr="007D3DF1">
        <w:rPr>
          <w:vertAlign w:val="superscript"/>
        </w:rPr>
        <w:t>1,2,18–24</w:t>
      </w:r>
      <w:r w:rsidRPr="007D3DF1">
        <w:rPr>
          <w:vertAlign w:val="superscript"/>
        </w:rPr>
        <w:fldChar w:fldCharType="end"/>
      </w:r>
      <w:r w:rsidRPr="00321DBD">
        <w:t xml:space="preserve"> In addition, streets that are designed with the safety and convenience of pedestrians and bicyclists in mind increase the number of people walking and bicycling,</w:t>
      </w:r>
      <w:r w:rsidRPr="007D3DF1">
        <w:rPr>
          <w:vertAlign w:val="superscript"/>
        </w:rPr>
        <w:fldChar w:fldCharType="begin" w:fldLock="1"/>
      </w:r>
      <w:r w:rsidRPr="007D3DF1">
        <w:rPr>
          <w:vertAlign w:val="superscript"/>
        </w:rPr>
        <w:instrText>ADDIN CSL_CITATION { "citationItems" : [ { "id" : "ITEM-1", "itemData" : { "DOI" : "10.1007/s11524-010-9509-6", "ISBN" : "1099-3460", "ISSN" : "10993460", "PMID" : "21174189", "abstract" : "A growing body of evidence links the built environment to physical activity levels, health outcomes, and transportation behaviors. However, little of this research has focused on cycling, a sustainable transportation option with great potential for growth in North America. This study examines associations between decisions to bicycle (versus drive) and the built environment, with explicit consideration of three different spatial zones that may be relevant in travel behavior: trip origins, trip destinations, and along the route between. We analyzed 3,280 utilitarian bicycle and car trips in Metro Vancouver, Canada made by 1,902 adults, including both current and potential cyclists. Objective measures were developed for built environment characteristics related to the physical environment, land use patterns, the road network, and bicycle-specific facilities. Multilevel logistic regression was used to model the likelihood that a trip was made by bicycle, adjusting for trip distance and personal demographics. Separate models were constructed for each spatial zone, and a global model examined the relative influence of the three zones. In total, 31% (1,023 out of 3,280) of trips were made by bicycle. Increased odds of bicycling were associated with less hilliness; higher intersection density; less highways and arterials; presence of bicycle signage, traffic calming, and cyclist-activated traffic lights; more neighborhood commercial, educational, and industrial land uses; greater land use mix; and higher population density. Different factors were important within each spatial zone. Overall, the characteristics of routes were more influential than origin or destination characteristics. These findings indicate that the built environment has a significant influence on healthy travel decisions, and spatial context is important. Future research should explicitly consider relevant spatial zones when investigating the relationship between physical activity and urban form.", "author" : [ { "dropping-particle" : "", "family" : "Winters", "given" : "Meghan", "non-dropping-particle" : "", "parse-names" : false, "suffix" : "" }, { "dropping-particle" : "", "family" : "Brauer", "given" : "Michael", "non-dropping-particle" : "", "parse-names" : false, "suffix" : "" }, { "dropping-particle" : "", "family" : "Setton", "given" : "Eleanor M.", "non-dropping-particle" : "", "parse-names" : false, "suffix" : "" }, { "dropping-particle" : "", "family" : "Teschke", "given" : "Kay", "non-dropping-particle" : "", "parse-names" : false, "suffix" : "" } ], "container-title" : "Journal of Urban Health", "id" : "ITEM-1", "issue" : "6", "issued" : { "date-parts" : [ [ "2010" ] ] }, "page" : "969-993", "title" : "Built environment influences on healthy transportation choices: bicycling versus driving", "type" : "article-journal", "volume" : "87" }, "uris" : [ "http://www.mendeley.com/documents/?uuid=98db5d91-0b18-496c-ae82-55aeae078340" ] }, { "id" : "ITEM-2", "itemData" : { "DOI" : "10.1136/jech.2003.017509", "ISBN" : "0143-005X (Print)\\r0143-005X (Linking)", "ISSN" : "0143-005X", "PMID" : "15365109", "abstract" : "STUDY OBJECTIVE: To assess the secondary health impacts of a traffic calming scheme on a community. METHODS: Prospective cohort study of a randomly selected sample of the local community using postal questionnaires and pedestrian counts on the affected road six months before and six months after the implementation of the scheme. The setting was a community in which a traffic calming scheme was built in the main road (2587 households). The Short Form 36 version 2 was included in the questionnaire and summary measures of physical health (physical component summary) and mental health (mental component summary) calculated. A random sample of 750 households was initially posted the pre-intervention questionnaire. MAIN RESULTS: There were increases in observed pedestrian activity in the area after the introduction of the traffic calming scheme. Physical health improved significantly but mental health did not change. Traffic related problems improved, while other local nuisances were reported to be worse. CONCLUSIONS: The introduction of a traffic calming scheme is associated with improvements in health and health related behaviours. It is feasible to prospectively evaluate broader health impacts of similar transport interventions although poor response rates may limit the validity of results.", "author" : [ { "dropping-particle" : "", "family" : "Morrison", "given" : "David S", "non-dropping-particle" : "", "parse-names" : false, "suffix" : "" }, { "dropping-particle" : "", "family" : "Thomson", "given" : "Hilary", "non-dropping-particle" : "", "parse-names" : false, "suffix" : "" }, { "dropping-particle" : "", "family" : "Petticrew", "given" : "Mark", "non-dropping-particle" : "", "parse-names" : false, "suffix" : "" } ], "container-title" : "Journal of Epidemiology &amp; Community Health", "id" : "ITEM-2", "issue" : "10", "issued" : { "date-parts" : [ [ "2004" ] ] }, "page" : "837-840", "title" : "Evaluation of the health effects of a neighbourhood traffic calming scheme", "type" : "article-journal", "volume" : "58" }, "uris" : [ "http://www.mendeley.com/documents/?uuid=133ddd53-15ae-4be1-b15d-57f93d0475af" ] }, { "id" : "ITEM-3", "itemData" : { "ISBN" : "2022073355", "author" : [ { "dropping-particle" : "", "family" : "National Complete Streets Coalition", "given" : "", "non-dropping-particle" : "", "parse-names" : false, "suffix" : "" }, { "dropping-particle" : "", "family" : "Smart Growth America", "given" : "", "non-dropping-particle" : "", "parse-names" : false, "suffix" : "" } ], "id" : "ITEM-3", "issued" : { "date-parts" : [ [ "0" ] ] }, "publisher-place" : "Washington, D.C.", "title" : "Complete Streets Change Travel Patterns", "type" : "report" }, "uris" : [ "http://www.mendeley.com/documents/?uuid=2b8348be-e248-4759-840d-8f424bd3ba71" ] } ], "mendeley" : { "formattedCitation" : "&lt;sup&gt;25\u201327&lt;/sup&gt;", "plainTextFormattedCitation" : "25\u201327", "previouslyFormattedCitation" : "&lt;sup&gt;25\u201327&lt;/sup&gt;" }, "properties" : { "noteIndex" : 0 }, "schema" : "https://github.com/citation-style-language/schema/raw/master/csl-citation.json" }</w:instrText>
      </w:r>
      <w:r w:rsidRPr="007D3DF1">
        <w:rPr>
          <w:vertAlign w:val="superscript"/>
        </w:rPr>
        <w:fldChar w:fldCharType="separate"/>
      </w:r>
      <w:r w:rsidRPr="007D3DF1">
        <w:rPr>
          <w:vertAlign w:val="superscript"/>
        </w:rPr>
        <w:t>25–27</w:t>
      </w:r>
      <w:r w:rsidRPr="007D3DF1">
        <w:rPr>
          <w:vertAlign w:val="superscript"/>
        </w:rPr>
        <w:fldChar w:fldCharType="end"/>
      </w:r>
      <w:r w:rsidRPr="00321DBD">
        <w:t xml:space="preserve"> which encourages an active lifestyle by creating opportunities to integrate exercise into daily activities.</w:t>
      </w:r>
      <w:r w:rsidRPr="007D3DF1">
        <w:rPr>
          <w:rStyle w:val="EndnoteReference"/>
          <w:rFonts w:cs="Times-Roman"/>
          <w:color w:val="000000"/>
          <w:position w:val="0"/>
          <w:sz w:val="24"/>
        </w:rPr>
        <w:fldChar w:fldCharType="begin" w:fldLock="1"/>
      </w:r>
      <w:r w:rsidRPr="007D3DF1">
        <w:rPr>
          <w:vertAlign w:val="superscript"/>
        </w:rPr>
        <w:instrText>ADDIN CSL_CITATION { "citationItems" : [ { "id" : "ITEM-1", "itemData" : { "author" : [ { "dropping-particle" : "", "family" : "Alliance for Biking and Walking", "given" : "", "non-dropping-particle" : "", "parse-names" : false, "suffix" : "" } ], "id" : "ITEM-1", "issued" : { "date-parts" : [ [ "2014" ] ] }, "publisher-place" : "Washington, D.C.", "title" : "Bicycling and Walking in the United States: 2014 Benchmarking Report", "type" : "report" }, "uris" : [ "http://www.mendeley.com/documents/?uuid=5195d174-c8ad-4c81-885b-932ee20d9a96" ] }, { "id" : "ITEM-2", "itemData" : { "author" : [ { "dropping-particle" : "", "family" : "National Complete Streets Coalition", "given" : "", "non-dropping-particle" : "", "parse-names" : false, "suffix" : "" }, { "dropping-particle" : "", "family" : "Smart Growth America", "given" : "", "non-dropping-particle" : "", "parse-names" : false, "suffix" : "" } ], "id" : "ITEM-2", "issued" : { "date-parts" : [ [ "2004" ] ] }, "publisher-place" : "Washington, D.C.", "title" : "Complete Streets Promote Good Health", "type" : "report" }, "uris" : [ "http://www.mendeley.com/documents/?uuid=8b203f92-787b-4478-a629-f933e6eb2cf2" ] } ], "mendeley" : { "formattedCitation" : "&lt;sup&gt;39,40&lt;/sup&gt;", "plainTextFormattedCitation" : "39,40", "previouslyFormattedCitation" : "&lt;sup&gt;39,40&lt;/sup&gt;" }, "properties" : { "noteIndex" : 0 }, "schema" : "https://github.com/citation-style-language/schema/raw/master/csl-citation.json" }</w:instrText>
      </w:r>
      <w:r w:rsidRPr="007D3DF1">
        <w:rPr>
          <w:rStyle w:val="EndnoteReference"/>
          <w:rFonts w:cs="Times-Roman"/>
          <w:color w:val="000000"/>
          <w:position w:val="0"/>
          <w:sz w:val="24"/>
        </w:rPr>
        <w:fldChar w:fldCharType="separate"/>
      </w:r>
      <w:r w:rsidRPr="007D3DF1">
        <w:rPr>
          <w:vertAlign w:val="superscript"/>
        </w:rPr>
        <w:t>39,40</w:t>
      </w:r>
      <w:r w:rsidRPr="007D3DF1">
        <w:rPr>
          <w:rStyle w:val="EndnoteReference"/>
          <w:rFonts w:cs="Times-Roman"/>
          <w:color w:val="000000"/>
          <w:position w:val="0"/>
          <w:sz w:val="24"/>
        </w:rPr>
        <w:fldChar w:fldCharType="end"/>
      </w:r>
      <w:r w:rsidRPr="00321DBD">
        <w:t xml:space="preserve"> This results in reduced risk of obesity and its associated health problems, which include diabetes, heart disease, high blood pressure, high cholesterol, as well as certain cancers, stroke, asthma, and depression</w:t>
      </w:r>
      <w:r w:rsidR="007D3DF1">
        <w:t>.</w:t>
      </w:r>
      <w:r w:rsidRPr="007D3DF1">
        <w:rPr>
          <w:vertAlign w:val="superscript"/>
        </w:rPr>
        <w:fldChar w:fldCharType="begin" w:fldLock="1"/>
      </w:r>
      <w:r w:rsidRPr="007D3DF1">
        <w:rPr>
          <w:vertAlign w:val="superscript"/>
        </w:rPr>
        <w:instrText>ADDIN CSL_CITATION { "citationItems" : [ { "id" : "ITEM-1", "itemData" : { "URL" : "www.cdc.gov/physicalactivity/everyone/health/index.html?s_cid=cs_284", "accessed" : { "date-parts" : [ [ "2015", "6", "12" ] ] }, "id" : "ITEM-1", "issued" : { "date-parts" : [ [ "0" ] ] }, "title" : "Physical Activity and Health. Centers for Disease Control and Prevention website.", "type" : "webpage" }, "uris" : [ "http://www.mendeley.com/documents/?uuid=9f3a1f26-5cdd-4e65-8bf5-a6a1326edeed" ] }, { "id" : "ITEM-2", "itemData" : { "author" : [ { "dropping-particle" : "", "family" : "Benjamin", "given" : "Regina M", "non-dropping-particle" : "", "parse-names" : false, "suffix" : "" } ], "container-title" : "Public Health Rep", "id" : "ITEM-2", "issue" : "5", "issued" : { "date-parts" : [ [ "2013" ] ] }, "page" : "350\u2013351", "title" : "Surgeon general's perspectives: the importance of 60 minutes or more of daily physical activity", "type" : "article-journal", "volume" : "128" }, "uris" : [ "http://www.mendeley.com/documents/?uuid=a6efaf2a-9862-4da4-9f2f-08e720243051" ] }, { "id" : "ITEM-3", "itemData" : { "author" : [ { "dropping-particle" : "", "family" : "ChangeLab Solutions", "given" : "", "non-dropping-particle" : "", "parse-names" : false, "suffix" : "" } ], "id" : "ITEM-3", "issued" : { "date-parts" : [ [ "2013" ] ] }, "publisher-place" : "Oakland, CA", "title" : "Getting the Wheels Rolling: A Guide to Using Policy to Create Bicycle Friendly Communities", "type" : "report" }, "uris" : [ "http://www.mendeley.com/documents/?uuid=dd8be3b5-7ec7-4f28-b07c-54a108d273aa" ] }, { "id" : "ITEM-4", "itemData" : { "DOI" : "10.1016/S0140-6736(12)61031-9.", "author" : [ { "dropping-particle" : "", "family" : "Lee", "given" : "I-Min", "non-dropping-particle" : "", "parse-names" : false, "suffix" : "" }, { "dropping-particle" : "", "family" : "Shiroma", "given" : "Eric J", "non-dropping-particle" : "", "parse-names" : false, "suffix" : "" }, { "dropping-particle" : "", "family" : "Lobelo", "given" : "Felipe", "non-dropping-particle" : "", "parse-names" : false, "suffix" : "" }, { "dropping-particle" : "", "family" : "Puska", "given" : "Pekka", "non-dropping-particle" : "", "parse-names" : false, "suffix" : "" }, { "dropping-particle" : "", "family" : "Blair", "given" : "Steven N", "non-dropping-particle" : "", "parse-names" : false, "suffix" : "" }, { "dropping-particle" : "", "family" : "Katzmarzyk", "given" : "Peter T", "non-dropping-particle" : "", "parse-names" : false, "suffix" : "" } ], "container-title" : "Lancet", "id" : "ITEM-4", "issue" : "9838", "issued" : { "date-parts" : [ [ "2012" ] ] }, "page" : "219-229", "title" : "Impact of physical inactivity on the world's major non-communicable diseases", "type" : "article-journal", "volume" : "380" }, "uris" : [ "http://www.mendeley.com/documents/?uuid=23d21575-2065-454d-96f6-45d6300b690d" ] }, { "id" : "ITEM-5", "itemData" : { "author" : [ { "dropping-particle" : "", "family" : "Nemours Health &amp; Prevention Services", "given" : "", "non-dropping-particle" : "", "parse-names" : false, "suffix" : "" } ], "id" : "ITEM-5", "issued" : { "date-parts" : [ [ "2009" ] ] }, "publisher-place" : "Newark, DE", "title" : "Counties and Municipalities in Delaware Can Develop Complete Streets to Combat Childhood Obesity", "type" : "report" }, "uris" : [ "http://www.mendeley.com/documents/?uuid=86f6ba0c-8a9c-45eb-bd3e-b9ebd000ef9e" ] } ], "mendeley" : { "formattedCitation" : "&lt;sup&gt;41\u201345&lt;/sup&gt;", "plainTextFormattedCitation" : "41\u201345", "previouslyFormattedCitation" : "&lt;sup&gt;41\u201345&lt;/sup&gt;" }, "properties" : { "noteIndex" : 0 }, "schema" : "https://github.com/citation-style-language/schema/raw/master/csl-citation.json" }</w:instrText>
      </w:r>
      <w:r w:rsidRPr="007D3DF1">
        <w:rPr>
          <w:vertAlign w:val="superscript"/>
        </w:rPr>
        <w:fldChar w:fldCharType="separate"/>
      </w:r>
      <w:r w:rsidRPr="007D3DF1">
        <w:rPr>
          <w:vertAlign w:val="superscript"/>
        </w:rPr>
        <w:t>41–45</w:t>
      </w:r>
      <w:r w:rsidRPr="007D3DF1">
        <w:rPr>
          <w:vertAlign w:val="superscript"/>
        </w:rPr>
        <w:fldChar w:fldCharType="end"/>
      </w:r>
    </w:p>
    <w:p w14:paraId="638DD506" w14:textId="77777777" w:rsidR="00D62DA9" w:rsidRPr="00321DBD" w:rsidRDefault="00D62DA9" w:rsidP="00321DBD">
      <w:pPr>
        <w:pStyle w:val="BasicParagraph"/>
      </w:pPr>
    </w:p>
    <w:p w14:paraId="53322B6F" w14:textId="5DC8C362" w:rsidR="00D62DA9" w:rsidRPr="00321DBD" w:rsidRDefault="00D62DA9" w:rsidP="00321DBD">
      <w:pPr>
        <w:pStyle w:val="BasicParagraph"/>
      </w:pPr>
      <w:r w:rsidRPr="00321DBD">
        <w:t xml:space="preserve">Complete Streets also provide benefits beyond health. A balanced transportation system that includes Complete Streets is conducive to lively streets where people walk and bicycle to everyday destinations, such as schools, shops, restaurants, businesses, parks, transit, and </w:t>
      </w:r>
      <w:r w:rsidRPr="00321DBD">
        <w:lastRenderedPageBreak/>
        <w:t>jobs, which in turn enhance neighborhood economic vitality</w:t>
      </w:r>
      <w:r w:rsidRPr="007D3DF1">
        <w:rPr>
          <w:vertAlign w:val="superscript"/>
        </w:rPr>
        <w:fldChar w:fldCharType="begin" w:fldLock="1"/>
      </w:r>
      <w:r w:rsidRPr="007D3DF1">
        <w:rPr>
          <w:vertAlign w:val="superscript"/>
        </w:rPr>
        <w:instrText>ADDIN CSL_CITATION { "citationItems" : [ { "id" : "ITEM-1", "itemData" : { "URL" : "https://urbanful.org/2015/03/02/cities-and-businesses-discover-that-cycling-pays/?utm_source=Urbanful+Master+List&amp;utm_campaign=c64d6e99aa-March_2_Newsletter_A_B_Test3_2_2015&amp;utm_medium=email&amp;utm_term=0_fdf64fbc84-c64d6e99aa-197206929", "accessed" : { "date-parts" : [ [ "2015", "5", "6" ] ] }, "author" : [ { "dropping-particle" : "", "family" : "Szczepanski", "given" : "Carolyn", "non-dropping-particle" : "", "parse-names" : false, "suffix" : "" } ], "id" : "ITEM-1", "issued" : { "date-parts" : [ [ "2013" ] ] }, "title" : "Cities and Businesses Discover That Cycling Pays. Urbanful website.", "type" : "webpage" }, "uris" : [ "http://www.mendeley.com/documents/?uuid=4e27f51a-eb80-4eab-9890-4d8771b18e07" ] }, { "id" : "ITEM-2", "itemData" : { "author" : [ { "dropping-particle" : "", "family" : "National Complete Streets Coalition", "given" : "", "non-dropping-particle" : "", "parse-names" : false, "suffix" : "" }, { "dropping-particle" : "", "family" : "Smart Growth America", "given" : "", "non-dropping-particle" : "", "parse-names" : false, "suffix" : "" } ], "id" : "ITEM-2", "issued" : { "date-parts" : [ [ "2015" ] ] }, "publisher-place" : "Washington, D.C.", "title" : "Safer Streets, Stronger Economies: Complete Streets project outcomes from across the country", "type" : "report" }, "uris" : [ "http://www.mendeley.com/documents/?uuid=4bead501-7bed-4cd8-92a0-2a583be7d61c" ] }, { "id" : "ITEM-3", "itemData" : { "author" : [ { "dropping-particle" : "", "family" : "New York City Department of Transporation", "given" : "", "non-dropping-particle" : "", "parse-names" : false, "suffix" : "" } ], "id" : "ITEM-3", "issued" : { "date-parts" : [ [ "2013" ] ] }, "number-of-pages" : "1-43", "publisher-place" : "New York City, NY", "title" : "The economic benefits of sustainable streets", "type" : "report" }, "uris" : [ "http://www.mendeley.com/documents/?uuid=05fe24d7-f80e-4a87-8b95-43ba2adea939" ] }, { "id" : "ITEM-4", "itemData" : { "author" : [ { "dropping-particle" : "", "family" : "New York City Department of Transportation", "given" : "", "non-dropping-particle" : "", "parse-names" : false, "suffix" : "" } ], "id" : "ITEM-4", "issued" : { "date-parts" : [ [ "2012" ] ] }, "publisher-place" : "New York City, NY", "title" : "Measuring the Street: New Metrics for 21st Century Streets", "type" : "report" }, "uris" : [ "http://www.mendeley.com/documents/?uuid=c4113062-f623-468c-b1e6-182fc82f5495" ] }, { "id" : "ITEM-5", "itemData" : { "author" : [ { "dropping-particle" : "", "family" : "National Complete Streets Coalition", "given" : "", "non-dropping-particle" : "", "parse-names" : false, "suffix" : "" }, { "dropping-particle" : "", "family" : "Local Government Commission", "given" : "", "non-dropping-particle" : "", "parse-names" : false, "suffix" : "" } ], "id" : "ITEM-5", "issued" : { "date-parts" : [ [ "2012" ] ] }, "publisher-place" : "Sacramento, CA", "title" : "It's a Safe Decision, Complete Streets in California", "type" : "report" }, "uris" : [ "http://www.mendeley.com/documents/?uuid=650448a7-5b61-433b-a736-84d208b78aa9" ] }, { "id" : "ITEM-6", "itemData" : { "author" : [ { "dropping-particle" : "", "family" : "Cortright", "given" : "Joe", "non-dropping-particle" : "", "parse-names" : false, "suffix" : "" } ], "id" : "ITEM-6", "issued" : { "date-parts" : [ [ "2009" ] ] }, "number-of-pages" : "1-30", "publisher-place" : "Clevland, OH", "title" : "Walking the Walk: How Walkability Raises Home Values in U.S. Cities", "type" : "report" }, "uris" : [ "http://www.mendeley.com/documents/?uuid=ccf29941-65e1-4e8c-a172-3fa0fc8394f1" ] }, { "id" : "ITEM-7", "itemData" : { "author" : [ { "dropping-particle" : "", "family" : "National Complete Streets Coalition", "given" : "", "non-dropping-particle" : "", "parse-names" : false, "suffix" : "" }, { "dropping-particle" : "", "family" : "Smart Growth America", "given" : "", "non-dropping-particle" : "", "parse-names" : false, "suffix" : "" } ], "id" : "ITEM-7", "issued" : { "date-parts" : [ [ "0" ] ] }, "number-of-pages" : "1-3", "publisher-place" : "Washington, D.C.", "title" : "Complete Streets Stimulate the Local Economy", "type" : "report" }, "uris" : [ "http://www.mendeley.com/documents/?uuid=9f6926f4-00f0-4b85-bc27-811b71aaeeea" ] } ], "mendeley" : { "formattedCitation" : "&lt;sup&gt;20,22,28\u201332&lt;/sup&gt;", "plainTextFormattedCitation" : "20,22,28\u201332", "previouslyFormattedCitation" : "&lt;sup&gt;20,22,28\u201332&lt;/sup&gt;" }, "properties" : { "noteIndex" : 0 }, "schema" : "https://github.com/citation-style-language/schema/raw/master/csl-citation.json" }</w:instrText>
      </w:r>
      <w:r w:rsidRPr="007D3DF1">
        <w:rPr>
          <w:vertAlign w:val="superscript"/>
        </w:rPr>
        <w:fldChar w:fldCharType="separate"/>
      </w:r>
      <w:r w:rsidRPr="007D3DF1">
        <w:rPr>
          <w:vertAlign w:val="superscript"/>
        </w:rPr>
        <w:t>20,22,28–32</w:t>
      </w:r>
      <w:r w:rsidRPr="007D3DF1">
        <w:rPr>
          <w:vertAlign w:val="superscript"/>
        </w:rPr>
        <w:fldChar w:fldCharType="end"/>
      </w:r>
      <w:r w:rsidRPr="007D3DF1">
        <w:rPr>
          <w:vertAlign w:val="superscript"/>
        </w:rPr>
        <w:t xml:space="preserve"> </w:t>
      </w:r>
      <w:r w:rsidRPr="00321DBD">
        <w:t>and livability</w:t>
      </w:r>
      <w:r w:rsidR="007D3DF1">
        <w:t>.</w:t>
      </w:r>
      <w:r w:rsidRPr="007D3DF1">
        <w:rPr>
          <w:vertAlign w:val="superscript"/>
        </w:rPr>
        <w:fldChar w:fldCharType="begin" w:fldLock="1"/>
      </w:r>
      <w:r w:rsidRPr="007D3DF1">
        <w:rPr>
          <w:vertAlign w:val="superscript"/>
        </w:rPr>
        <w:instrText>ADDIN CSL_CITATION { "citationItems" : [ { "id" : "ITEM-1", "itemData" : { "author" : [ { "dropping-particle" : "", "family" : "AARP Public Policy Institute", "given" : "", "non-dropping-particle" : "", "parse-names" : false, "suffix" : "" } ], "id" : "ITEM-1", "issued" : { "date-parts" : [ [ "2014" ] ] }, "publisher-place" : "Washington, D.C.", "title" : "What is Livable? Community Preferences of Older Adults", "type" : "report" }, "uris" : [ "http://www.mendeley.com/documents/?uuid=15265b62-e115-4b4b-9985-c7d041fd0299" ] }, { "id" : "ITEM-2", "itemData" : { "author" : [ { "dropping-particle" : "", "family" : "Victoria Transportation Policy Institute", "given" : "", "non-dropping-particle" : "", "parse-names" : false, "suffix" : "" } ], "id" : "ITEM-2", "issued" : { "date-parts" : [ [ "2014" ] ] }, "number-of-pages" : "1-29", "publisher-place" : "Victoria, Canada", "title" : "Evaluating Complete Streets: The Value of Designing Roads For Diverse Modes, Users and Activities", "type" : "report" }, "uris" : [ "http://www.mendeley.com/documents/?uuid=8cd91a44-ff9d-419f-8837-2e67882ecd1c" ] }, { "id" : "ITEM-3", "itemData" : { "author" : [ { "dropping-particle" : "", "family" : "National Association of Regional Councils", "given" : "", "non-dropping-particle" : "", "parse-names" : false, "suffix" : "" }, { "dropping-particle" : "", "family" : "Federal Highway Administration", "given" : "", "non-dropping-particle" : "", "parse-names" : false, "suffix" : "" } ], "id" : "ITEM-3", "issued" : { "date-parts" : [ [ "2012" ] ] }, "number-of-pages" : "1-28", "publisher-place" : "Washington, D.C.", "title" : "Livability Literature Review: A Synthesis of Current Practice", "type" : "report" }, "uris" : [ "http://www.mendeley.com/documents/?uuid=fd331373-d93b-4081-b17f-81722b93b4e5" ] } ], "mendeley" : { "formattedCitation" : "&lt;sup&gt;33\u201335&lt;/sup&gt;", "plainTextFormattedCitation" : "33\u201335", "previouslyFormattedCitation" : "&lt;sup&gt;33\u201335&lt;/sup&gt;" }, "properties" : { "noteIndex" : 0 }, "schema" : "https://github.com/citation-style-language/schema/raw/master/csl-citation.json" }</w:instrText>
      </w:r>
      <w:r w:rsidRPr="007D3DF1">
        <w:rPr>
          <w:vertAlign w:val="superscript"/>
        </w:rPr>
        <w:fldChar w:fldCharType="separate"/>
      </w:r>
      <w:r w:rsidRPr="007D3DF1">
        <w:rPr>
          <w:vertAlign w:val="superscript"/>
        </w:rPr>
        <w:t>33–35</w:t>
      </w:r>
      <w:r w:rsidRPr="007D3DF1">
        <w:rPr>
          <w:vertAlign w:val="superscript"/>
        </w:rPr>
        <w:fldChar w:fldCharType="end"/>
      </w:r>
      <w:r w:rsidRPr="00321DBD">
        <w:t xml:space="preserve"> More people walking, bicycling, and using public transit also saves energy resources, reduces air pollution, and lowers emissions of greenhouse gases</w:t>
      </w:r>
      <w:r w:rsidR="007D3DF1">
        <w:t>.</w:t>
      </w:r>
      <w:r w:rsidRPr="007D3DF1">
        <w:rPr>
          <w:vertAlign w:val="superscript"/>
        </w:rPr>
        <w:fldChar w:fldCharType="begin" w:fldLock="1"/>
      </w:r>
      <w:r w:rsidRPr="007D3DF1">
        <w:rPr>
          <w:vertAlign w:val="superscript"/>
        </w:rPr>
        <w:instrText>ADDIN CSL_CITATION { "citationItems" : [ { "id" : "ITEM-1", "itemData" : { "author" : [ { "dropping-particle" : "", "family" : "Victoria Transportation Policy Institute", "given" : "", "non-dropping-particle" : "", "parse-names" : false, "suffix" : "" } ], "id" : "ITEM-1", "issued" : { "date-parts" : [ [ "2015" ] ] }, "publisher-place" : "Victoria, Canada", "title" : "Evaluating Active Transportation Benefits and Costs", "type" : "report" }, "uris" : [ "http://www.mendeley.com/documents/?uuid=ae3ad36f-1e7a-4a1c-8de8-9f75469bb0b0" ] }, { "id" : "ITEM-2", "itemData" : { "DOI" : "10.1289/ehp.1103440", "author" : [ { "dropping-particle" : "", "family" : "Grabow", "given" : "Maggie L.", "non-dropping-particle" : "", "parse-names" : false, "suffix" : "" }, { "dropping-particle" : "", "family" : "Spak", "given" : "Scott N.", "non-dropping-particle" : "", "parse-names" : false, "suffix" : "" }, { "dropping-particle" : "", "family" : "Holloway", "given" : "Tracey", "non-dropping-particle" : "", "parse-names" : false, "suffix" : "" }, { "dropping-particle" : "", "family" : "Stone Jr.", "given" : "Brian", "non-dropping-particle" : "", "parse-names" : false, "suffix" : "" }, { "dropping-particle" : "", "family" : "Mednick", "given" : "Adam C.", "non-dropping-particle" : "", "parse-names" : false, "suffix" : "" }, { "dropping-particle" : "", "family" : "Patz", "given" : "Jonathan A.", "non-dropping-particle" : "", "parse-names" : false, "suffix" : "" } ], "container-title" : "Environmental Health Perspectives", "id" : "ITEM-2", "issue" : "1", "issued" : { "date-parts" : [ [ "2012" ] ] }, "page" : "68-76", "title" : "Air quality and exericse-related health benefits from reduced car travel in the midwestern United States", "type" : "article-journal", "volume" : "120" }, "uris" : [ "http://www.mendeley.com/documents/?uuid=c0b2fc31-cc90-49fc-84be-5e7f2e2d0b79" ] }, { "id" : "ITEM-3", "itemData" : { "author" : [ { "dropping-particle" : "", "family" : "California Environmental Protection Agency", "given" : "", "non-dropping-particle" : "", "parse-names" : false, "suffix" : "" } ], "id" : "ITEM-3", "issued" : { "date-parts" : [ [ "2015" ] ] }, "publisher-place" : "Sacramento, CA", "title" : "Bicycle Fact Sheet", "type" : "report" }, "uris" : [ "http://www.mendeley.com/documents/?uuid=4dd2394a-3c03-4d1a-928c-80b633c362c4" ] } ], "mendeley" : { "formattedCitation" : "&lt;sup&gt;36\u201338&lt;/sup&gt;", "plainTextFormattedCitation" : "36\u201338", "previouslyFormattedCitation" : "&lt;sup&gt;36\u201338&lt;/sup&gt;" }, "properties" : { "noteIndex" : 0 }, "schema" : "https://github.com/citation-style-language/schema/raw/master/csl-citation.json" }</w:instrText>
      </w:r>
      <w:r w:rsidRPr="007D3DF1">
        <w:rPr>
          <w:vertAlign w:val="superscript"/>
        </w:rPr>
        <w:fldChar w:fldCharType="separate"/>
      </w:r>
      <w:r w:rsidRPr="007D3DF1">
        <w:rPr>
          <w:vertAlign w:val="superscript"/>
        </w:rPr>
        <w:t>36–38</w:t>
      </w:r>
      <w:r w:rsidRPr="007D3DF1">
        <w:rPr>
          <w:vertAlign w:val="superscript"/>
        </w:rPr>
        <w:fldChar w:fldCharType="end"/>
      </w:r>
    </w:p>
    <w:p w14:paraId="46B91C83" w14:textId="77777777" w:rsidR="00D62DA9" w:rsidRPr="00321DBD" w:rsidRDefault="00D62DA9" w:rsidP="00321DBD">
      <w:pPr>
        <w:pStyle w:val="BasicParagraph"/>
      </w:pPr>
    </w:p>
    <w:p w14:paraId="4687A99A" w14:textId="3A89C051" w:rsidR="00D62DA9" w:rsidRPr="00321DBD" w:rsidRDefault="00D62DA9" w:rsidP="00321DBD">
      <w:pPr>
        <w:pStyle w:val="BasicParagraph"/>
      </w:pPr>
      <w:r w:rsidRPr="00321DBD">
        <w:t>Importantly, Complete Streets legislation can also have tangible equity impacts. Whether they are located in rural, urban, or suburban communities, low-income areas and communities of color are typically the least safe for pedestrians and bicyclists,</w:t>
      </w:r>
      <w:r w:rsidRPr="007D3DF1">
        <w:rPr>
          <w:vertAlign w:val="superscript"/>
        </w:rPr>
        <w:fldChar w:fldCharType="begin" w:fldLock="1"/>
      </w:r>
      <w:r w:rsidRPr="007D3DF1">
        <w:rPr>
          <w:vertAlign w:val="superscript"/>
        </w:rPr>
        <w:instrText>ADDIN CSL_CITATION { "citationItems" : [ { "id" : "ITEM-1", "itemData" : { "URL" : "www.governing.com/topics/public-justice-safety/gov-pedestrian-deaths-analysis.html", "accessed" : { "date-parts" : [ [ "2015", "5", "6" ] ] }, "author" : [ { "dropping-particle" : "", "family" : "Maciag", "given" : "Mike", "non-dropping-particle" : "", "parse-names" : false, "suffix" : "" } ], "id" : "ITEM-1", "issued" : { "date-parts" : [ [ "0" ] ] }, "title" : "Pedestrians Dying at Disproportionate Rates in America's Poorer Neighborhoods. GOVERNING Institute website.", "type" : "webpage" }, "uris" : [ "http://www.mendeley.com/documents/?uuid=4021cd04-7bde-45fd-932d-b96be3c3c769" ] } ], "mendeley" : { "formattedCitation" : "&lt;sup&gt;11&lt;/sup&gt;", "plainTextFormattedCitation" : "11", "previouslyFormattedCitation" : "&lt;sup&gt;11&lt;/sup&gt;" }, "properties" : { "noteIndex" : 0 }, "schema" : "https://github.com/citation-style-language/schema/raw/master/csl-citation.json" }</w:instrText>
      </w:r>
      <w:r w:rsidRPr="007D3DF1">
        <w:rPr>
          <w:vertAlign w:val="superscript"/>
        </w:rPr>
        <w:fldChar w:fldCharType="separate"/>
      </w:r>
      <w:r w:rsidRPr="007D3DF1">
        <w:rPr>
          <w:vertAlign w:val="superscript"/>
        </w:rPr>
        <w:t>11</w:t>
      </w:r>
      <w:r w:rsidRPr="007D3DF1">
        <w:rPr>
          <w:vertAlign w:val="superscript"/>
        </w:rPr>
        <w:fldChar w:fldCharType="end"/>
      </w:r>
      <w:r w:rsidRPr="00321DBD">
        <w:t xml:space="preserve"> especially for children walking and bicycling to school.</w:t>
      </w:r>
      <w:r w:rsidRPr="007D3DF1">
        <w:rPr>
          <w:vertAlign w:val="superscript"/>
        </w:rPr>
        <w:fldChar w:fldCharType="begin" w:fldLock="1"/>
      </w:r>
      <w:r w:rsidRPr="007D3DF1">
        <w:rPr>
          <w:vertAlign w:val="superscript"/>
        </w:rPr>
        <w:instrText>ADDIN CSL_CITATION { "citationItems" : [ { "id" : "ITEM-1", "itemData" : { "author" : [ { "dropping-particle" : "", "family" : "National Highway Traffic Safety Administration", "given" : "", "non-dropping-particle" : "", "parse-names" : false, "suffix" : "" } ], "id" : "ITEM-1", "issue" : "June", "issued" : { "date-parts" : [ [ "2012" ] ] }, "number-of-pages" : "i-75", "publisher-place" : "Washington, D.C.", "title" : "Review of Studies on Pedestrian and Bicyclist Safety, 1991-2007", "type" : "report" }, "uris" : [ "http://www.mendeley.com/documents/?uuid=edcb1d41-a692-43d3-b25a-216506eb71e7" ] } ], "mendeley" : { "formattedCitation" : "&lt;sup&gt;12&lt;/sup&gt;", "plainTextFormattedCitation" : "12", "previouslyFormattedCitation" : "&lt;sup&gt;12&lt;/sup&gt;" }, "properties" : { "noteIndex" : 0 }, "schema" : "https://github.com/citation-style-language/schema/raw/master/csl-citation.json" }</w:instrText>
      </w:r>
      <w:r w:rsidRPr="007D3DF1">
        <w:rPr>
          <w:vertAlign w:val="superscript"/>
        </w:rPr>
        <w:fldChar w:fldCharType="separate"/>
      </w:r>
      <w:r w:rsidRPr="007D3DF1">
        <w:rPr>
          <w:vertAlign w:val="superscript"/>
        </w:rPr>
        <w:t>12</w:t>
      </w:r>
      <w:r w:rsidRPr="007D3DF1">
        <w:rPr>
          <w:vertAlign w:val="superscript"/>
        </w:rPr>
        <w:fldChar w:fldCharType="end"/>
      </w:r>
      <w:r w:rsidRPr="00321DBD">
        <w:t xml:space="preserve"> This inequity is due to long-standing systemic disinvestment,</w:t>
      </w:r>
      <w:r w:rsidRPr="007D3DF1">
        <w:rPr>
          <w:vertAlign w:val="superscript"/>
        </w:rPr>
        <w:fldChar w:fldCharType="begin" w:fldLock="1"/>
      </w:r>
      <w:r w:rsidRPr="007D3DF1">
        <w:rPr>
          <w:vertAlign w:val="superscript"/>
        </w:rPr>
        <w:instrText>ADDIN CSL_CITATION { "citationItems" : [ { "id" : "ITEM-1", "itemData" : { "author" : [ { "dropping-particle" : "", "family" : "Gibbs", "given" : "K", "non-dropping-particle" : "", "parse-names" : false, "suffix" : "" }, { "dropping-particle" : "", "family" : "Slater", "given" : "SJ", "non-dropping-particle" : "", "parse-names" : false, "suffix" : "" }, { "dropping-particle" : "", "family" : "Nicholson", "given" : "N", "non-dropping-particle" : "", "parse-names" : false, "suffix" : "" }, { "dropping-particle" : "", "family" : "Barker", "given" : "DC", "non-dropping-particle" : "", "parse-names" : false, "suffix" : "" }, { "dropping-particle" : "", "family" : "Chaloupka", "given" : "FJ", "non-dropping-particle" : "", "parse-names" : false, "suffix" : "" } ], "id" : "ITEM-1", "issue" : "March", "issued" : { "date-parts" : [ [ "2012" ] ] }, "publisher-place" : "Chicago, IL", "title" : "Income Disparities in Street Features that Encourage Walking", "type" : "report" }, "uris" : [ "http://www.mendeley.com/documents/?uuid=9ccd7ea6-4305-4c23-b675-ccaf1c871a47" ] }, { "id" : "ITEM-2", "itemData" : { "URL" : "http://chi.streetsblog.org/tag/shawn-conley/", "accessed" : { "date-parts" : [ [ "2015", "6", "5" ] ] }, "author" : [ { "dropping-particle" : "", "family" : "Greenfield", "given" : "John", "non-dropping-particle" : "", "parse-names" : false, "suffix" : "" } ], "id" : "ITEM-2", "issued" : { "date-parts" : [ [ "2014" ] ] }, "title" : "Why Don\u2019t the South and West Sides Have a Fair Share of Bike Facilities? Streetsblog website.", "type" : "webpage" }, "uris" : [ "http://www.mendeley.com/documents/?uuid=6e1d0673-ec0e-4d8e-921a-5dfea83e6dbf" ] }, { "id" : "ITEM-3", "itemData" : { "author" : [ { "dropping-particle" : "", "family" : "The League of American Bicyclists", "given" : "", "non-dropping-particle" : "", "parse-names" : false, "suffix" : "" }, { "dropping-particle" : "", "family" : "Sierra Club", "given" : "", "non-dropping-particle" : "", "parse-names" : false, "suffix" : "" } ], "id" : "ITEM-3", "issued" : { "date-parts" : [ [ "2013" ] ] }, "publisher-place" : "Washington, D.C.", "title" : "The New Majority: Pedaling Towards Equity", "type" : "report" }, "uris" : [ "http://www.mendeley.com/documents/?uuid=d4532a61-2bb3-4d68-9962-392ae84bc268" ] } ], "mendeley" : { "formattedCitation" : "&lt;sup&gt;13\u201315&lt;/sup&gt;", "plainTextFormattedCitation" : "13\u201315", "previouslyFormattedCitation" : "&lt;sup&gt;13\u201315&lt;/sup&gt;" }, "properties" : { "noteIndex" : 0 }, "schema" : "https://github.com/citation-style-language/schema/raw/master/csl-citation.json" }</w:instrText>
      </w:r>
      <w:r w:rsidRPr="007D3DF1">
        <w:rPr>
          <w:vertAlign w:val="superscript"/>
        </w:rPr>
        <w:fldChar w:fldCharType="separate"/>
      </w:r>
      <w:r w:rsidRPr="007D3DF1">
        <w:rPr>
          <w:vertAlign w:val="superscript"/>
        </w:rPr>
        <w:t>13–15</w:t>
      </w:r>
      <w:r w:rsidRPr="007D3DF1">
        <w:rPr>
          <w:vertAlign w:val="superscript"/>
        </w:rPr>
        <w:fldChar w:fldCharType="end"/>
      </w:r>
      <w:r w:rsidRPr="00321DBD">
        <w:t xml:space="preserve"> which has resulted in disparities in the quality of infrastructure in certain neighborhoods. </w:t>
      </w:r>
    </w:p>
    <w:p w14:paraId="5D8254E1" w14:textId="77777777" w:rsidR="00D62DA9" w:rsidRPr="00321DBD" w:rsidRDefault="00D62DA9" w:rsidP="00321DBD">
      <w:pPr>
        <w:pStyle w:val="BasicParagraph"/>
      </w:pPr>
    </w:p>
    <w:p w14:paraId="6BFF3711" w14:textId="36CDF729" w:rsidR="00D62DA9" w:rsidRDefault="00D62DA9" w:rsidP="00321DBD">
      <w:pPr>
        <w:pStyle w:val="BasicParagraph"/>
      </w:pPr>
      <w:bookmarkStart w:id="0" w:name="_Toc476566960"/>
      <w:r w:rsidRPr="00321DBD">
        <w:t xml:space="preserve">All people, no matter where they live, should benefit from Complete Streets. Realizing the full range of benefits is a long-term proposition that requires ongoing commitment from multiple departments in state government as well as community advocates and residents. </w:t>
      </w:r>
      <w:bookmarkEnd w:id="0"/>
    </w:p>
    <w:p w14:paraId="168FA3B5" w14:textId="77777777" w:rsidR="00321DBD" w:rsidRPr="00321DBD" w:rsidRDefault="00321DBD" w:rsidP="00321DBD">
      <w:pPr>
        <w:pStyle w:val="BasicParagraph"/>
      </w:pPr>
    </w:p>
    <w:p w14:paraId="38F086A1" w14:textId="77777777" w:rsidR="00D62DA9" w:rsidRPr="000831C6" w:rsidRDefault="00D62DA9" w:rsidP="000831C6">
      <w:pPr>
        <w:pStyle w:val="BasicParagraph"/>
        <w:spacing w:after="60"/>
        <w:rPr>
          <w:b/>
        </w:rPr>
      </w:pPr>
      <w:r w:rsidRPr="000831C6">
        <w:rPr>
          <w:b/>
        </w:rPr>
        <w:t>How do I use this document?</w:t>
      </w:r>
    </w:p>
    <w:p w14:paraId="7E69A746" w14:textId="77777777" w:rsidR="00D62DA9" w:rsidRPr="00321DBD" w:rsidRDefault="00D62DA9" w:rsidP="00321DBD">
      <w:pPr>
        <w:pStyle w:val="BasicParagraph"/>
      </w:pPr>
      <w:r w:rsidRPr="00321DBD">
        <w:t>This model Complete Streets legislation offers a variety of options for its use. In some instances, blanks (</w:t>
      </w:r>
      <w:proofErr w:type="spellStart"/>
      <w:r w:rsidRPr="00321DBD">
        <w:t>eg</w:t>
      </w:r>
      <w:proofErr w:type="spellEnd"/>
      <w:r w:rsidRPr="00321DBD">
        <w:t>, [ ___</w:t>
      </w:r>
      <w:proofErr w:type="gramStart"/>
      <w:r w:rsidRPr="00321DBD">
        <w:t>_ ]</w:t>
      </w:r>
      <w:proofErr w:type="gramEnd"/>
      <w:r w:rsidRPr="00321DBD">
        <w:t xml:space="preserve"> ) prompt you to customize the language to fit the needs of your state. In other cases, this model offers you a choice of options (</w:t>
      </w:r>
      <w:proofErr w:type="spellStart"/>
      <w:r w:rsidRPr="00321DBD">
        <w:t>eg</w:t>
      </w:r>
      <w:proofErr w:type="spellEnd"/>
      <w:r w:rsidRPr="00321DBD">
        <w:t xml:space="preserve">, [ </w:t>
      </w:r>
      <w:r w:rsidRPr="007D3DF1">
        <w:rPr>
          <w:i/>
        </w:rPr>
        <w:t xml:space="preserve">choice one / choice </w:t>
      </w:r>
      <w:proofErr w:type="gramStart"/>
      <w:r w:rsidRPr="007D3DF1">
        <w:rPr>
          <w:i/>
        </w:rPr>
        <w:t>two</w:t>
      </w:r>
      <w:r w:rsidRPr="00321DBD">
        <w:t xml:space="preserve"> ]</w:t>
      </w:r>
      <w:proofErr w:type="gramEnd"/>
      <w:r w:rsidRPr="00321DBD">
        <w:t xml:space="preserve"> ). Some of the options are followed by a comment that describes the provisions in more detail. Some degree of customization is always necessary to make sure this model is consistent with a state’s existing laws and policies. Your legal counsel will likely be the best person to check this for you.</w:t>
      </w:r>
    </w:p>
    <w:p w14:paraId="36433200" w14:textId="77777777" w:rsidR="00D62DA9" w:rsidRPr="00321DBD" w:rsidRDefault="00D62DA9" w:rsidP="00321DBD">
      <w:pPr>
        <w:pStyle w:val="BasicParagraph"/>
      </w:pPr>
    </w:p>
    <w:p w14:paraId="4AE1F05B" w14:textId="6EF01766" w:rsidR="00D62DA9" w:rsidRPr="000831C6" w:rsidRDefault="00D62DA9" w:rsidP="00321DBD">
      <w:pPr>
        <w:pStyle w:val="BasicParagraph"/>
        <w:rPr>
          <w:spacing w:val="-2"/>
        </w:rPr>
      </w:pPr>
      <w:r w:rsidRPr="000831C6">
        <w:rPr>
          <w:spacing w:val="-2"/>
        </w:rPr>
        <w:t xml:space="preserve">Statutes often include findings (“whereas” clauses) that justify their adoption and the expenditure of resources to support them. Although such findings are part of the statute, they are not usually codified. The legislature should select the findings it determines are most relevant, and it should add findings that relate to state-specific conditions and concerns. </w:t>
      </w:r>
    </w:p>
    <w:p w14:paraId="0BBE8B9C" w14:textId="77777777" w:rsidR="000831C6" w:rsidRPr="00321DBD" w:rsidRDefault="000831C6" w:rsidP="00321DBD">
      <w:pPr>
        <w:pStyle w:val="BasicParagraph"/>
      </w:pPr>
    </w:p>
    <w:p w14:paraId="58CEC267" w14:textId="77777777" w:rsidR="00D62DA9" w:rsidRPr="000831C6" w:rsidRDefault="00D62DA9" w:rsidP="000831C6">
      <w:pPr>
        <w:pStyle w:val="BasicParagraph"/>
        <w:spacing w:after="60"/>
        <w:rPr>
          <w:b/>
        </w:rPr>
      </w:pPr>
      <w:r w:rsidRPr="000831C6">
        <w:rPr>
          <w:b/>
        </w:rPr>
        <w:t xml:space="preserve">What’s included in the model Complete Streets legislation? </w:t>
      </w:r>
      <w:bookmarkStart w:id="1" w:name="_Toc476566956"/>
      <w:bookmarkStart w:id="2" w:name="_Toc477173953"/>
    </w:p>
    <w:p w14:paraId="444AD215" w14:textId="77777777" w:rsidR="00D62DA9" w:rsidRPr="00321DBD" w:rsidRDefault="00D62DA9" w:rsidP="00321DBD">
      <w:pPr>
        <w:pStyle w:val="BasicParagraph"/>
      </w:pPr>
      <w:r w:rsidRPr="00321DBD">
        <w:t xml:space="preserve">This model Complete Streets legislation demonstrates a state’s commitment to providing residents and visitors with the many health, social, economic, environmental, equity, and other benefits of Complete Streets. </w:t>
      </w:r>
      <w:bookmarkEnd w:id="1"/>
      <w:bookmarkEnd w:id="2"/>
      <w:r w:rsidRPr="00321DBD">
        <w:t xml:space="preserve">The model legislation provides policy language that requires a governing state agency, usually the state DOT, to design and implement Complete Streets for state transportation projects, in every phase of the project. The model state legislation also compels the state agency to modify its internal protocols, procedures, and programs to conform to these requirements, as well as coordinate with relevant state, regional, and local agencies; establish an advisory board; and require monitoring and reporting of performance measures. </w:t>
      </w:r>
    </w:p>
    <w:p w14:paraId="70A3F015" w14:textId="3BCCB240" w:rsidR="00D62DA9" w:rsidRPr="00321DBD" w:rsidRDefault="00D62DA9" w:rsidP="00321DBD">
      <w:pPr>
        <w:pStyle w:val="BasicParagraph"/>
      </w:pPr>
    </w:p>
    <w:p w14:paraId="457D8D6C" w14:textId="4F2D9329" w:rsidR="00D62DA9" w:rsidRPr="001B689A" w:rsidRDefault="00D62DA9" w:rsidP="001B689A">
      <w:pPr>
        <w:pStyle w:val="Heading2"/>
        <w:spacing w:after="240"/>
      </w:pPr>
      <w:r w:rsidRPr="001B689A">
        <w:lastRenderedPageBreak/>
        <w:t>MODEL STATE LEGISLATION ESTABLISHING</w:t>
      </w:r>
      <w:r w:rsidR="00AE0F85" w:rsidRPr="001B689A">
        <w:t xml:space="preserve"> </w:t>
      </w:r>
      <w:r w:rsidRPr="001B689A">
        <w:t>COMPLETE STREETS</w:t>
      </w:r>
    </w:p>
    <w:p w14:paraId="39B54C85" w14:textId="60655458" w:rsidR="00D62DA9" w:rsidRPr="000831C6" w:rsidRDefault="000831C6" w:rsidP="00AE0F85">
      <w:pPr>
        <w:pStyle w:val="commentsbox"/>
        <w:spacing w:after="120"/>
      </w:pPr>
      <w:r w:rsidRPr="000831C6">
        <w:rPr>
          <w:b/>
        </w:rPr>
        <w:t>COMMENT:</w:t>
      </w:r>
      <w:r w:rsidRPr="000831C6">
        <w:t xml:space="preserve"> </w:t>
      </w:r>
      <w:r w:rsidR="00D62DA9" w:rsidRPr="000831C6">
        <w:t>While most states use the phrase “Complete Streets,” some jurisdictions use an alternate phrase. Kansas, for example, uses the term “Livable Streets.”</w:t>
      </w:r>
    </w:p>
    <w:p w14:paraId="7B456474" w14:textId="1AF1256A" w:rsidR="00D62DA9" w:rsidRPr="000831C6" w:rsidRDefault="00D62DA9" w:rsidP="00AE0F85">
      <w:pPr>
        <w:pStyle w:val="commentsbox"/>
        <w:spacing w:after="120"/>
      </w:pPr>
      <w:r w:rsidRPr="000831C6">
        <w:t>Some states, such as New Jersey, rely on a state department of transportation (DOT) Complete Streets policy and do not adopt a Complete Streets law. However, while a state DOT policy can sometimes achieve the same results as a state law, agency policies lack the stable underpinning provided by a state law. An agency can modify or revoke its policies at any time; state laws, in contrast, remain in effect unless they are invalidated by a court or subsequent law.</w:t>
      </w:r>
    </w:p>
    <w:p w14:paraId="15335FFF" w14:textId="77777777" w:rsidR="00D62DA9" w:rsidRPr="00041783" w:rsidRDefault="00D62DA9" w:rsidP="00D62DA9">
      <w:pPr>
        <w:autoSpaceDE w:val="0"/>
        <w:autoSpaceDN w:val="0"/>
        <w:adjustRightInd w:val="0"/>
        <w:spacing w:line="240" w:lineRule="auto"/>
        <w:rPr>
          <w:b/>
          <w:bCs/>
        </w:rPr>
      </w:pPr>
    </w:p>
    <w:p w14:paraId="5588BA24" w14:textId="0BADBBFB" w:rsidR="00D62DA9" w:rsidRPr="00041783" w:rsidRDefault="00D62DA9" w:rsidP="001B689A">
      <w:pPr>
        <w:pStyle w:val="BasicParagraph"/>
        <w:spacing w:after="240"/>
        <w:rPr>
          <w:rFonts w:cs="Times New Roman"/>
          <w:b/>
        </w:rPr>
      </w:pPr>
      <w:r w:rsidRPr="00041783">
        <w:rPr>
          <w:rFonts w:cs="Times New Roman"/>
          <w:b/>
        </w:rPr>
        <w:t>THE PEOPLE OF THE STATE OF [</w:t>
      </w:r>
      <w:r w:rsidRPr="00041783">
        <w:rPr>
          <w:rFonts w:cs="Times New Roman"/>
          <w:b/>
          <w:i/>
        </w:rPr>
        <w:t>insert name of state</w:t>
      </w:r>
      <w:r w:rsidRPr="00041783">
        <w:rPr>
          <w:rFonts w:cs="Times New Roman"/>
          <w:b/>
        </w:rPr>
        <w:t>] HEREBY ENACT AS FOLLOWS:</w:t>
      </w:r>
    </w:p>
    <w:p w14:paraId="7448532C" w14:textId="22737E16" w:rsidR="00D62DA9" w:rsidRPr="00041783" w:rsidRDefault="00D62DA9" w:rsidP="001B689A">
      <w:pPr>
        <w:pStyle w:val="BasicParagraph"/>
        <w:spacing w:after="240"/>
        <w:rPr>
          <w:rFonts w:cs="Times New Roman"/>
          <w:b/>
        </w:rPr>
      </w:pPr>
      <w:bookmarkStart w:id="3" w:name="_Hlk529096373"/>
      <w:r w:rsidRPr="00041783">
        <w:rPr>
          <w:rFonts w:cs="Times New Roman"/>
          <w:b/>
        </w:rPr>
        <w:t xml:space="preserve">SECTION ONE. FINDINGS. </w:t>
      </w:r>
      <w:bookmarkEnd w:id="3"/>
      <w:r w:rsidRPr="00041783">
        <w:rPr>
          <w:rFonts w:cs="Times New Roman"/>
          <w:b/>
        </w:rPr>
        <w:t xml:space="preserve">The Legislature hereby finds and declares as follows: </w:t>
      </w:r>
    </w:p>
    <w:p w14:paraId="15ABAF88" w14:textId="025C7D81" w:rsidR="00D62DA9" w:rsidRPr="000831C6" w:rsidRDefault="000831C6" w:rsidP="00AE0F85">
      <w:pPr>
        <w:pStyle w:val="commentsbox"/>
        <w:spacing w:after="120"/>
      </w:pPr>
      <w:r w:rsidRPr="000831C6">
        <w:rPr>
          <w:b/>
        </w:rPr>
        <w:t>COMMENT:</w:t>
      </w:r>
      <w:r w:rsidRPr="000831C6">
        <w:t xml:space="preserve"> </w:t>
      </w:r>
      <w:r w:rsidR="00D62DA9" w:rsidRPr="000831C6">
        <w:t xml:space="preserve">The findings section is part of the legislation and legislative record, but it usually does not become codified in state law. In addition to serving an educational purpose and building support for the legislation, the findings can also serve a legal purpose. If the law is challenged in court, the findings are an admissible record of the factual determinations made by the legislative body. Courts will generally defer to legislative determinations of factual issues, which often influence legal conclusions. </w:t>
      </w:r>
    </w:p>
    <w:p w14:paraId="7679A149" w14:textId="77777777" w:rsidR="00D62DA9" w:rsidRPr="003E3863" w:rsidRDefault="00D62DA9" w:rsidP="00D62DA9">
      <w:pPr>
        <w:autoSpaceDE w:val="0"/>
        <w:autoSpaceDN w:val="0"/>
        <w:adjustRightInd w:val="0"/>
        <w:spacing w:line="240" w:lineRule="auto"/>
      </w:pPr>
    </w:p>
    <w:p w14:paraId="332D6628" w14:textId="77777777" w:rsidR="00D62DA9" w:rsidRPr="00AE0F85" w:rsidRDefault="00D62DA9" w:rsidP="00AE0F85">
      <w:pPr>
        <w:pStyle w:val="BasicParagraph"/>
      </w:pPr>
      <w:r w:rsidRPr="00AE0F85">
        <w:rPr>
          <w:b/>
        </w:rPr>
        <w:t>WHEREAS,</w:t>
      </w:r>
      <w:r w:rsidRPr="00AE0F85">
        <w:t xml:space="preserve"> safe, convenient, and accessible transportation for all users is a priority of [</w:t>
      </w:r>
      <w:r w:rsidRPr="00AE0F85">
        <w:rPr>
          <w:i/>
        </w:rPr>
        <w:t>insert name of state</w:t>
      </w:r>
      <w:r w:rsidRPr="00AE0F85">
        <w:t>];</w:t>
      </w:r>
    </w:p>
    <w:p w14:paraId="6FB4D117" w14:textId="77777777" w:rsidR="00D62DA9" w:rsidRPr="00AE0F85" w:rsidRDefault="00D62DA9" w:rsidP="00AE0F85">
      <w:pPr>
        <w:pStyle w:val="BasicParagraph"/>
      </w:pPr>
    </w:p>
    <w:p w14:paraId="06C640EA" w14:textId="77777777" w:rsidR="00D62DA9" w:rsidRPr="00AE0F85" w:rsidRDefault="00D62DA9" w:rsidP="00AE0F85">
      <w:pPr>
        <w:pStyle w:val="BasicParagraph"/>
      </w:pPr>
      <w:r w:rsidRPr="00AE0F85">
        <w:rPr>
          <w:b/>
        </w:rPr>
        <w:t>WHEREAS,</w:t>
      </w:r>
      <w:r w:rsidRPr="00AE0F85">
        <w:t xml:space="preserve"> the term “Complete Streets” describes a comprehensive, connected, integrated transportation network with infrastructure and design that allows safe and convenient travel along and across streets for all people, including pedestrians, bicyclists, persons with disabilities, motorists, movers of commercial goods, users and operators of public transportation, seniors, children, youth, and families; </w:t>
      </w:r>
    </w:p>
    <w:p w14:paraId="7EB517A9" w14:textId="77777777" w:rsidR="00D62DA9" w:rsidRPr="00AE0F85" w:rsidRDefault="00D62DA9" w:rsidP="00AE0F85">
      <w:pPr>
        <w:pStyle w:val="BasicParagraph"/>
      </w:pPr>
    </w:p>
    <w:p w14:paraId="0459B99E" w14:textId="5A6B0D0C" w:rsidR="00D62DA9" w:rsidRPr="00AE0F85" w:rsidRDefault="00D62DA9" w:rsidP="00AE0F85">
      <w:pPr>
        <w:pStyle w:val="BasicParagraph"/>
      </w:pPr>
      <w:r w:rsidRPr="00AE0F85">
        <w:rPr>
          <w:b/>
        </w:rPr>
        <w:t>WHEREAS,</w:t>
      </w:r>
      <w:r w:rsidRPr="00AE0F85">
        <w:t xml:space="preserve"> the lack of Complete Streets is dangerous for pedestrians, bicyclists, and public transportation riders,</w:t>
      </w:r>
      <w:r w:rsidRPr="00AE0F85">
        <w:rPr>
          <w:vertAlign w:val="superscript"/>
        </w:rPr>
        <w:fldChar w:fldCharType="begin" w:fldLock="1"/>
      </w:r>
      <w:r w:rsidRPr="00AE0F85">
        <w:rPr>
          <w:vertAlign w:val="superscript"/>
        </w:rPr>
        <w:instrText>ADDIN CSL_CITATION { "citationItems" : [ { "id" : "ITEM-1", "itemData" : { "author" : [ { "dropping-particle" : "", "family" : "Health Resources in Action", "given" : "", "non-dropping-particle" : "", "parse-names" : false, "suffix" : "" } ], "id" : "ITEM-1", "issue" : "December", "issued" : { "date-parts" : [ [ "2013" ] ] }, "number-of-pages" : "1-8", "publisher-place" : "Boston, MA", "title" : "Public Health Impact: Community Speed Reduction", "type" : "report" }, "uris" : [ "http://www.mendeley.com/documents/?uuid=9c1a5a21-686f-4fbc-9d5b-9737b17c9db9" ] }, { "id" : "ITEM-2", "itemData" : { "author" : [ { "dropping-particle" : "", "family" : "New York City Department of Transportation", "given" : "", "non-dropping-particle" : "", "parse-names" : false, "suffix" : "" } ], "id" : "ITEM-2", "issue" : "November", "issued" : { "date-parts" : [ [ "2013" ] ] }, "number-of-pages" : "1-30", "publisher-place" : "New York City, NY", "title" : "Making safer streets", "type" : "report" }, "uris" : [ "http://www.mendeley.com/documents/?uuid=1e2c187c-3c46-4cc3-aed7-958dd65da560" ] }, { "id" : "ITEM-3", "itemData" : { "URL" : "www.pedbikeinfo.org/data/faq_details.cfm?id=3467", "accessed" : { "date-parts" : [ [ "2015", "6", "5" ] ] }, "id" : "ITEM-3", "issued" : { "date-parts" : [ [ "0" ] ] }, "title" : "What Are Complete Streets and Why Should We Build Them? Pedestrian and Bicycle Information Center website.", "type" : "webpage" }, "uris" : [ "http://www.mendeley.com/documents/?uuid=473626e0-dca5-476b-945d-3e2733728a70" ] } ], "mendeley" : { "formattedCitation" : "&lt;sup&gt;1\u20133&lt;/sup&gt;", "plainTextFormattedCitation" : "1\u20133", "previouslyFormattedCitation" : "&lt;sup&gt;1\u20133&lt;/sup&gt;" }, "properties" : { "noteIndex" : 0 }, "schema" : "https://github.com/citation-style-language/schema/raw/master/csl-citation.json" }</w:instrText>
      </w:r>
      <w:r w:rsidRPr="00AE0F85">
        <w:rPr>
          <w:vertAlign w:val="superscript"/>
        </w:rPr>
        <w:fldChar w:fldCharType="separate"/>
      </w:r>
      <w:r w:rsidRPr="00AE0F85">
        <w:rPr>
          <w:vertAlign w:val="superscript"/>
        </w:rPr>
        <w:t>1–3</w:t>
      </w:r>
      <w:r w:rsidRPr="00AE0F85">
        <w:rPr>
          <w:vertAlign w:val="superscript"/>
        </w:rPr>
        <w:fldChar w:fldCharType="end"/>
      </w:r>
      <w:r w:rsidRPr="00AE0F85">
        <w:t xml:space="preserve"> particularly children,</w:t>
      </w:r>
      <w:r w:rsidRPr="00AE0F85">
        <w:rPr>
          <w:vertAlign w:val="superscript"/>
        </w:rPr>
        <w:fldChar w:fldCharType="begin" w:fldLock="1"/>
      </w:r>
      <w:r w:rsidRPr="00AE0F85">
        <w:rPr>
          <w:vertAlign w:val="superscript"/>
        </w:rPr>
        <w:instrText>ADDIN CSL_CITATION { "citationItems" : [ { "id" : "ITEM-1", "itemData" : { "DOI" : "10.1542/peds.2013-2317", "ISSN" : "1098-4275", "PMID" : "24709929", "abstract" : "OBJECTIVES: Initiatives to increase active school transportation are popular. However, increased walking to school could increase collision risk. The built environment is related to both pedestrian collision risk and walking to school. We examined the influence of the built environment on walking to school and child pedestrian collisions in Toronto, Canada.\\n\\nMETHODS: Police-reported pedestrian collision data from 2002 to 2011 for children ages 4 to 12, proportion of children walking to school, and built environment data were mapped onto school attendance boundaries. Collision rates were calculated by using 2006 census populations and modeled by using negative binomial regression.\\n\\nRESULTS: There were 481 collisions with a mean collision rate of 7.4/10 000 children per year. The relationship between walking proportion and collision rate was not statistically significant after adjusting for population density and roadway design variables including multifamily dwelling density, traffic light, traffic calming and 1-way street density, school crossing guard presence, and school socioeconomic status.\\n\\nCONCLUSIONS: Pedestrian collisions are more strongly associated with built environment features than with proportions walking. Road design features were related to higher collision rates and warrant further examination for their safety effects for children. Future policy designed to increase children's active transportation should be developed from evidence that more clearly addresses child pedestrian safety.", "author" : [ { "dropping-particle" : "", "family" : "Rothman", "given" : "Linda", "non-dropping-particle" : "", "parse-names" : false, "suffix" : "" }, { "dropping-particle" : "", "family" : "Macarthur", "given" : "Colin", "non-dropping-particle" : "", "parse-names" : false, "suffix" : "" }, { "dropping-particle" : "", "family" : "To", "given" : "Teresa", "non-dropping-particle" : "", "parse-names" : false, "suffix" : "" }, { "dropping-particle" : "", "family" : "Buliung", "given" : "Ron", "non-dropping-particle" : "", "parse-names" : false, "suffix" : "" }, { "dropping-particle" : "", "family" : "Howard", "given" : "Andrew", "non-dropping-particle" : "", "parse-names" : false, "suffix" : "" } ], "container-title" : "Pediatrics", "id" : "ITEM-1", "issue" : "5", "issued" : { "date-parts" : [ [ "2014" ] ] }, "page" : "1-9", "title" : "Motor vehicle-pedestrian collisions and walking to school: the role of the built environment", "type" : "article-journal", "volume" : "133" }, "uris" : [ "http://www.mendeley.com/documents/?uuid=9638890d-2dfb-4a12-bb5d-94c2fa75b43c" ] } ], "mendeley" : { "formattedCitation" : "&lt;sup&gt;4&lt;/sup&gt;", "plainTextFormattedCitation" : "4", "previouslyFormattedCitation" : "&lt;sup&gt;4&lt;/sup&gt;" }, "properties" : { "noteIndex" : 0 }, "schema" : "https://github.com/citation-style-language/schema/raw/master/csl-citation.json" }</w:instrText>
      </w:r>
      <w:r w:rsidRPr="00AE0F85">
        <w:rPr>
          <w:vertAlign w:val="superscript"/>
        </w:rPr>
        <w:fldChar w:fldCharType="separate"/>
      </w:r>
      <w:r w:rsidRPr="00AE0F85">
        <w:rPr>
          <w:vertAlign w:val="superscript"/>
        </w:rPr>
        <w:t>4</w:t>
      </w:r>
      <w:r w:rsidRPr="00AE0F85">
        <w:rPr>
          <w:vertAlign w:val="superscript"/>
        </w:rPr>
        <w:fldChar w:fldCharType="end"/>
      </w:r>
      <w:r w:rsidR="007C5327">
        <w:rPr>
          <w:vertAlign w:val="superscript"/>
        </w:rPr>
        <w:t>-6</w:t>
      </w:r>
      <w:r w:rsidRPr="00AE0F85">
        <w:t xml:space="preserve"> older adults,</w:t>
      </w:r>
      <w:r w:rsidRPr="00AE0F85">
        <w:rPr>
          <w:vertAlign w:val="superscript"/>
        </w:rPr>
        <w:fldChar w:fldCharType="begin" w:fldLock="1"/>
      </w:r>
      <w:r w:rsidRPr="00AE0F85">
        <w:rPr>
          <w:vertAlign w:val="superscript"/>
        </w:rPr>
        <w:instrText>ADDIN CSL_CITATION { "citationItems" : [ { "id" : "ITEM-1", "itemData" : { "author" : [ { "dropping-particle" : "", "family" : "AARP Livable Communities", "given" : "", "non-dropping-particle" : "", "parse-names" : false, "suffix" : "" }, { "dropping-particle" : "", "family" : "Walkable and Livable Communities Institute", "given" : "", "non-dropping-particle" : "", "parse-names" : false, "suffix" : "" } ], "id" : "ITEM-1", "issued" : { "date-parts" : [ [ "2014" ] ] }, "publisher-place" : "Washington, D.C.", "title" : "Traffic Calming: A Livability Fact Sheet", "type" : "report" }, "uris" : [ "http://www.mendeley.com/documents/?uuid=4e0cb39a-28fb-4b6a-a4d7-86d689a80d1c" ] } ], "mendeley" : { "formattedCitation" : "&lt;sup&gt;7&lt;/sup&gt;", "plainTextFormattedCitation" : "7", "previouslyFormattedCitation" : "&lt;sup&gt;7&lt;/sup&gt;" }, "properties" : { "noteIndex" : 0 }, "schema" : "https://github.com/citation-style-language/schema/raw/master/csl-citation.json" }</w:instrText>
      </w:r>
      <w:r w:rsidRPr="00AE0F85">
        <w:rPr>
          <w:vertAlign w:val="superscript"/>
        </w:rPr>
        <w:fldChar w:fldCharType="separate"/>
      </w:r>
      <w:r w:rsidRPr="00AE0F85">
        <w:rPr>
          <w:vertAlign w:val="superscript"/>
        </w:rPr>
        <w:t>7</w:t>
      </w:r>
      <w:r w:rsidRPr="00AE0F85">
        <w:rPr>
          <w:vertAlign w:val="superscript"/>
        </w:rPr>
        <w:fldChar w:fldCharType="end"/>
      </w:r>
      <w:r w:rsidRPr="00AE0F85">
        <w:t xml:space="preserve"> and persons with disabilities</w:t>
      </w:r>
      <w:r w:rsidRPr="00AE0F85">
        <w:rPr>
          <w:vertAlign w:val="superscript"/>
        </w:rPr>
        <w:fldChar w:fldCharType="begin" w:fldLock="1"/>
      </w:r>
      <w:r w:rsidRPr="00AE0F85">
        <w:rPr>
          <w:vertAlign w:val="superscript"/>
        </w:rPr>
        <w:instrText>ADDIN CSL_CITATION { "citationItems" : [ { "id" : "ITEM-1", "itemData" : { "ISBN" : "2022073355", "author" : [ { "dropping-particle" : "", "family" : "National Complete Streets Coalition", "given" : "", "non-dropping-particle" : "", "parse-names" : false, "suffix" : "" }, { "dropping-particle" : "", "family" : "Smart Growth America", "given" : "", "non-dropping-particle" : "", "parse-names" : false, "suffix" : "" } ], "id" : "ITEM-1", "issued" : { "date-parts" : [ [ "0" ] ] }, "publisher-place" : "Washington, D.C.", "title" : "Complete Streets Help People with Disabilities", "type" : "report" }, "uris" : [ "http://www.mendeley.com/documents/?uuid=92d966dc-da6e-4604-83f6-187883451513" ] }, { "id" : "ITEM-2", "itemData" : { "DOI" : "10.1061/(ASCE)0733-947X(2005)131:11(812)", "ISSN" : "0733-947X", "PMID" : "16170941", "abstract" : "Pedestrian behavior and safety at roundabouts are not well understood, particularly for pedestrians with sensory or mobility impairments. A previous study in which participants indicated when they would cross suggested that blind pedestrians miss more crossing opportunities and make riskier judgments than sighted pedestrians. The present study replicated these findings and analyzed actual street crossings. Six blind and six sighted pedestrians negotiated a double-lane urban roundabout under high and low traffic volumes. Blind participants waited three times longer to cross than sighted participants. About 6% of the blind participants\u2019 crossing attempts were judged dangerous enough to require intervention, compared to none for sighted pedestrians. Drivers yielded frequently on the entry lanes but not the exit lanes. Sighted participants accepted drivers\u2019 yields, whereas blind participants rarely did so. Blind-sighted differences are interpreted in terms of auditory access to information about traffic, and policy implications are discussed regarding accessibility of transportation systems.", "author" : [ { "dropping-particle" : "", "family" : "Ashmead", "given" : "Daniel H.", "non-dropping-particle" : "", "parse-names" : false, "suffix" : "" }, { "dropping-particle" : "", "family" : "Guth", "given" : "David", "non-dropping-particle" : "", "parse-names" : false, "suffix" : "" }, { "dropping-particle" : "", "family" : "Wall", "given" : "Robert S.", "non-dropping-particle" : "", "parse-names" : false, "suffix" : "" }, { "dropping-particle" : "", "family" : "Long", "given" : "Richard G.", "non-dropping-particle" : "", "parse-names" : false, "suffix" : "" }, { "dropping-particle" : "", "family" : "Ponchillia", "given" : "Paul E.", "non-dropping-particle" : "", "parse-names" : false, "suffix" : "" } ], "container-title" : "Journal of Transportation Engineering", "id" : "ITEM-2", "issue" : "11", "issued" : { "date-parts" : [ [ "2005" ] ] }, "page" : "812-821", "title" : "Street crossing by sighted and blind pedestrians at a modern roundabout", "type" : "article-journal", "volume" : "131" }, "uris" : [ "http://www.mendeley.com/documents/?uuid=615d1c77-a23d-4785-8ec0-c25c527eda68" ] } ], "mendeley" : { "formattedCitation" : "&lt;sup&gt;8,9&lt;/sup&gt;", "plainTextFormattedCitation" : "8,9", "previouslyFormattedCitation" : "&lt;sup&gt;8,9&lt;/sup&gt;" }, "properties" : { "noteIndex" : 0 }, "schema" : "https://github.com/citation-style-language/schema/raw/master/csl-citation.json" }</w:instrText>
      </w:r>
      <w:r w:rsidRPr="00AE0F85">
        <w:rPr>
          <w:vertAlign w:val="superscript"/>
        </w:rPr>
        <w:fldChar w:fldCharType="separate"/>
      </w:r>
      <w:r w:rsidRPr="00AE0F85">
        <w:rPr>
          <w:vertAlign w:val="superscript"/>
        </w:rPr>
        <w:t>8,9</w:t>
      </w:r>
      <w:r w:rsidRPr="00AE0F85">
        <w:rPr>
          <w:vertAlign w:val="superscript"/>
        </w:rPr>
        <w:fldChar w:fldCharType="end"/>
      </w:r>
      <w:r w:rsidRPr="00AE0F85">
        <w:t>; on average, a pedestrian was killed every 2 hours and injured every 7 minutes in traffic collisions in 2012</w:t>
      </w:r>
      <w:r w:rsidRPr="00AE0F85">
        <w:rPr>
          <w:vertAlign w:val="superscript"/>
        </w:rPr>
        <w:fldChar w:fldCharType="begin" w:fldLock="1"/>
      </w:r>
      <w:r w:rsidRPr="00AE0F85">
        <w:rPr>
          <w:vertAlign w:val="superscript"/>
        </w:rPr>
        <w:instrText>ADDIN CSL_CITATION { "citationItems" : [ { "id" : "ITEM-1", "itemData" : { "author" : [ { "dropping-particle" : "", "family" : "National Highway Traffic Safety Administration", "given" : "", "non-dropping-particle" : "", "parse-names" : false, "suffix" : "" } ], "id" : "ITEM-1", "issue" : "April", "issued" : { "date-parts" : [ [ "2014" ] ] }, "number-of-pages" : "1-10", "publisher-place" : "Washington, D.C.", "title" : "Traffic Safety Facts 2012 Data", "type" : "report" }, "uris" : [ "http://www.mendeley.com/documents/?uuid=f52700df-069d-44d4-ab6a-2c2ebd271ebb" ] } ], "mendeley" : { "formattedCitation" : "&lt;sup&gt;10&lt;/sup&gt;", "plainTextFormattedCitation" : "10", "previouslyFormattedCitation" : "&lt;sup&gt;10&lt;/sup&gt;" }, "properties" : { "noteIndex" : 0 }, "schema" : "https://github.com/citation-style-language/schema/raw/master/csl-citation.json" }</w:instrText>
      </w:r>
      <w:r w:rsidRPr="00AE0F85">
        <w:rPr>
          <w:vertAlign w:val="superscript"/>
        </w:rPr>
        <w:fldChar w:fldCharType="separate"/>
      </w:r>
      <w:r w:rsidRPr="00AE0F85">
        <w:rPr>
          <w:vertAlign w:val="superscript"/>
        </w:rPr>
        <w:t>10</w:t>
      </w:r>
      <w:r w:rsidRPr="00AE0F85">
        <w:rPr>
          <w:vertAlign w:val="superscript"/>
        </w:rPr>
        <w:fldChar w:fldCharType="end"/>
      </w:r>
      <w:r w:rsidRPr="00AE0F85">
        <w:t>;</w:t>
      </w:r>
    </w:p>
    <w:p w14:paraId="01328266" w14:textId="77777777" w:rsidR="00D62DA9" w:rsidRPr="003E3863" w:rsidRDefault="00D62DA9" w:rsidP="00D62DA9">
      <w:pPr>
        <w:autoSpaceDE w:val="0"/>
        <w:autoSpaceDN w:val="0"/>
        <w:adjustRightInd w:val="0"/>
        <w:spacing w:line="240" w:lineRule="auto"/>
      </w:pPr>
    </w:p>
    <w:p w14:paraId="09C125AD" w14:textId="77777777" w:rsidR="00D62DA9" w:rsidRPr="00AE0F85" w:rsidRDefault="00D62DA9" w:rsidP="00AE0F85">
      <w:pPr>
        <w:pStyle w:val="BasicParagraph"/>
      </w:pPr>
      <w:r w:rsidRPr="00AE0F85">
        <w:rPr>
          <w:b/>
        </w:rPr>
        <w:t>WHEREAS,</w:t>
      </w:r>
      <w:r w:rsidRPr="00AE0F85">
        <w:t xml:space="preserve"> [</w:t>
      </w:r>
      <w:r w:rsidRPr="00AE0F85">
        <w:rPr>
          <w:i/>
        </w:rPr>
        <w:t>add state data on traffic injuries if desired</w:t>
      </w:r>
      <w:r w:rsidRPr="00AE0F85">
        <w:t>];</w:t>
      </w:r>
    </w:p>
    <w:p w14:paraId="51CF0E2D" w14:textId="77777777" w:rsidR="00D62DA9" w:rsidRPr="00AE0F85" w:rsidRDefault="00D62DA9" w:rsidP="00AE0F85">
      <w:pPr>
        <w:pStyle w:val="BasicParagraph"/>
      </w:pPr>
    </w:p>
    <w:p w14:paraId="3AE53D9B" w14:textId="77777777" w:rsidR="001B689A" w:rsidRDefault="001B689A" w:rsidP="00AE0F85">
      <w:pPr>
        <w:pStyle w:val="BasicParagraph"/>
        <w:rPr>
          <w:b/>
        </w:rPr>
      </w:pPr>
    </w:p>
    <w:p w14:paraId="51E963F1" w14:textId="77777777" w:rsidR="001B689A" w:rsidRDefault="001B689A" w:rsidP="00AE0F85">
      <w:pPr>
        <w:pStyle w:val="BasicParagraph"/>
        <w:rPr>
          <w:b/>
        </w:rPr>
      </w:pPr>
    </w:p>
    <w:p w14:paraId="0F5FBFC3" w14:textId="07794219" w:rsidR="00D62DA9" w:rsidRPr="003E3863" w:rsidRDefault="00D62DA9" w:rsidP="00AE0F85">
      <w:pPr>
        <w:pStyle w:val="BasicParagraph"/>
        <w:rPr>
          <w:rFonts w:asciiTheme="minorHAnsi" w:hAnsiTheme="minorHAnsi"/>
          <w:color w:val="auto"/>
        </w:rPr>
      </w:pPr>
      <w:r w:rsidRPr="00AE0F85">
        <w:rPr>
          <w:b/>
        </w:rPr>
        <w:lastRenderedPageBreak/>
        <w:t>WHEREAS,</w:t>
      </w:r>
      <w:r w:rsidRPr="00AE0F85">
        <w:t xml:space="preserve"> low- and moderate-income areas, whether located in rural, urban, or suburban communities, are typically the least safe for pedestrians and bicyclists,</w:t>
      </w:r>
      <w:r w:rsidRPr="00AE0F85">
        <w:fldChar w:fldCharType="begin" w:fldLock="1"/>
      </w:r>
      <w:r w:rsidRPr="00AE0F85">
        <w:instrText>ADDIN CSL_CITATION { "citationItems" : [ { "id" : "ITEM-1", "itemData" : { "URL" : "www.governing.com/topics/public-justice-safety/gov-pedestrian-deaths-analysis.html", "accessed" : { "date-parts" : [ [ "2015", "5", "6" ] ] }, "author" : [ { "dropping-particle" : "", "family" : "Maciag", "given" : "Mike", "non-dropping-particle" : "", "parse-names" : false, "suffix" : "" } ], "id" : "ITEM-1", "issued" : { "date-parts" : [ [ "0" ] ] }, "title" : "Pedestrians Dying at Disproportionate Rates in America's Poorer Neighborhoods. GOVERNING Institute website.", "type" : "webpage" }, "uris" : [ "http://www.mendeley.com/documents/?uuid=4021cd04-7bde-45fd-932d-b96be3c3c769" ] } ], "mendeley" : { "formattedCitation" : "&lt;sup&gt;11&lt;/sup&gt;", "plainTextFormattedCitation" : "11", "previouslyFormattedCitation" : "&lt;sup&gt;11&lt;/sup&gt;" }, "properties" : { "noteIndex" : 0 }, "schema" : "https://github.com/citation-style-language/schema/raw/master/csl-citation.json" }</w:instrText>
      </w:r>
      <w:r w:rsidRPr="00AE0F85">
        <w:fldChar w:fldCharType="separate"/>
      </w:r>
      <w:r w:rsidRPr="00AE0F85">
        <w:rPr>
          <w:vertAlign w:val="superscript"/>
        </w:rPr>
        <w:t>11</w:t>
      </w:r>
      <w:r w:rsidRPr="00AE0F85">
        <w:fldChar w:fldCharType="end"/>
      </w:r>
      <w:r w:rsidRPr="003E3863">
        <w:rPr>
          <w:rFonts w:asciiTheme="minorHAnsi" w:hAnsiTheme="minorHAnsi"/>
          <w:color w:val="auto"/>
        </w:rPr>
        <w:t xml:space="preserve"> especially for </w:t>
      </w:r>
      <w:r w:rsidRPr="00AE0F85">
        <w:t>children walking and bicycling to school,</w:t>
      </w:r>
      <w:r w:rsidRPr="00AE0F85">
        <w:rPr>
          <w:vertAlign w:val="superscript"/>
        </w:rPr>
        <w:fldChar w:fldCharType="begin" w:fldLock="1"/>
      </w:r>
      <w:r w:rsidRPr="00AE0F85">
        <w:rPr>
          <w:vertAlign w:val="superscript"/>
        </w:rPr>
        <w:instrText>ADDIN CSL_CITATION { "citationItems" : [ { "id" : "ITEM-1", "itemData" : { "author" : [ { "dropping-particle" : "", "family" : "National Highway Traffic Safety Administration", "given" : "", "non-dropping-particle" : "", "parse-names" : false, "suffix" : "" } ], "id" : "ITEM-1", "issue" : "June", "issued" : { "date-parts" : [ [ "2012" ] ] }, "number-of-pages" : "i-75", "publisher-place" : "Washington, D.C.", "title" : "Review of Studies on Pedestrian and Bicyclist Safety, 1991-2007", "type" : "report" }, "uris" : [ "http://www.mendeley.com/documents/?uuid=edcb1d41-a692-43d3-b25a-216506eb71e7" ] } ], "mendeley" : { "formattedCitation" : "&lt;sup&gt;12&lt;/sup&gt;", "plainTextFormattedCitation" : "12", "previouslyFormattedCitation" : "&lt;sup&gt;12&lt;/sup&gt;" }, "properties" : { "noteIndex" : 0 }, "schema" : "https://github.com/citation-style-language/schema/raw/master/csl-citation.json" }</w:instrText>
      </w:r>
      <w:r w:rsidRPr="00AE0F85">
        <w:rPr>
          <w:vertAlign w:val="superscript"/>
        </w:rPr>
        <w:fldChar w:fldCharType="separate"/>
      </w:r>
      <w:r w:rsidRPr="00AE0F85">
        <w:rPr>
          <w:vertAlign w:val="superscript"/>
        </w:rPr>
        <w:t>12</w:t>
      </w:r>
      <w:r w:rsidRPr="00AE0F85">
        <w:rPr>
          <w:vertAlign w:val="superscript"/>
        </w:rPr>
        <w:fldChar w:fldCharType="end"/>
      </w:r>
      <w:r w:rsidRPr="00AE0F85">
        <w:t xml:space="preserve"> due to long-standing infrastructure disparities caused by systemic disinvestment</w:t>
      </w:r>
      <w:r w:rsidRPr="00AE0F85">
        <w:rPr>
          <w:vertAlign w:val="superscript"/>
        </w:rPr>
        <w:fldChar w:fldCharType="begin" w:fldLock="1"/>
      </w:r>
      <w:r w:rsidRPr="00AE0F85">
        <w:rPr>
          <w:vertAlign w:val="superscript"/>
        </w:rPr>
        <w:instrText>ADDIN CSL_CITATION { "citationItems" : [ { "id" : "ITEM-1", "itemData" : { "author" : [ { "dropping-particle" : "", "family" : "Gibbs", "given" : "K", "non-dropping-particle" : "", "parse-names" : false, "suffix" : "" }, { "dropping-particle" : "", "family" : "Slater", "given" : "SJ", "non-dropping-particle" : "", "parse-names" : false, "suffix" : "" }, { "dropping-particle" : "", "family" : "Nicholson", "given" : "N", "non-dropping-particle" : "", "parse-names" : false, "suffix" : "" }, { "dropping-particle" : "", "family" : "Barker", "given" : "DC", "non-dropping-particle" : "", "parse-names" : false, "suffix" : "" }, { "dropping-particle" : "", "family" : "Chaloupka", "given" : "FJ", "non-dropping-particle" : "", "parse-names" : false, "suffix" : "" } ], "id" : "ITEM-1", "issue" : "March", "issued" : { "date-parts" : [ [ "2012" ] ] }, "publisher-place" : "Chicago, IL", "title" : "Income Disparities in Street Features that Encourage Walking", "type" : "report" }, "uris" : [ "http://www.mendeley.com/documents/?uuid=9ccd7ea6-4305-4c23-b675-ccaf1c871a47" ] }, { "id" : "ITEM-2", "itemData" : { "URL" : "http://chi.streetsblog.org/tag/shawn-conley/", "accessed" : { "date-parts" : [ [ "2015", "6", "5" ] ] }, "author" : [ { "dropping-particle" : "", "family" : "Greenfield", "given" : "John", "non-dropping-particle" : "", "parse-names" : false, "suffix" : "" } ], "id" : "ITEM-2", "issued" : { "date-parts" : [ [ "2014" ] ] }, "title" : "Why Don\u2019t the South and West Sides Have a Fair Share of Bike Facilities? Streetsblog website.", "type" : "webpage" }, "uris" : [ "http://www.mendeley.com/documents/?uuid=6e1d0673-ec0e-4d8e-921a-5dfea83e6dbf" ] }, { "id" : "ITEM-3", "itemData" : { "author" : [ { "dropping-particle" : "", "family" : "The League of American Bicyclists", "given" : "", "non-dropping-particle" : "", "parse-names" : false, "suffix" : "" }, { "dropping-particle" : "", "family" : "Sierra Club", "given" : "", "non-dropping-particle" : "", "parse-names" : false, "suffix" : "" } ], "id" : "ITEM-3", "issued" : { "date-parts" : [ [ "2013" ] ] }, "publisher-place" : "Washington, D.C.", "title" : "The New Majority: Pedaling Towards Equity", "type" : "report" }, "uris" : [ "http://www.mendeley.com/documents/?uuid=d4532a61-2bb3-4d68-9962-392ae84bc268" ] } ], "mendeley" : { "formattedCitation" : "&lt;sup&gt;13\u201315&lt;/sup&gt;", "plainTextFormattedCitation" : "13\u201315", "previouslyFormattedCitation" : "&lt;sup&gt;13\u201315&lt;/sup&gt;" }, "properties" : { "noteIndex" : 0 }, "schema" : "https://github.com/citation-style-language/schema/raw/master/csl-citation.json" }</w:instrText>
      </w:r>
      <w:r w:rsidRPr="00AE0F85">
        <w:rPr>
          <w:vertAlign w:val="superscript"/>
        </w:rPr>
        <w:fldChar w:fldCharType="separate"/>
      </w:r>
      <w:r w:rsidRPr="00AE0F85">
        <w:rPr>
          <w:vertAlign w:val="superscript"/>
        </w:rPr>
        <w:t>13–15</w:t>
      </w:r>
      <w:r w:rsidRPr="00AE0F85">
        <w:rPr>
          <w:vertAlign w:val="superscript"/>
        </w:rPr>
        <w:fldChar w:fldCharType="end"/>
      </w:r>
      <w:r w:rsidRPr="00AE0F85">
        <w:t xml:space="preserve"> and a higher concentration of streets with faster-moving and/or higher-volume traffic</w:t>
      </w:r>
      <w:r w:rsidRPr="00AE0F85">
        <w:rPr>
          <w:vertAlign w:val="superscript"/>
        </w:rPr>
        <w:fldChar w:fldCharType="begin" w:fldLock="1"/>
      </w:r>
      <w:r w:rsidRPr="00AE0F85">
        <w:rPr>
          <w:vertAlign w:val="superscript"/>
        </w:rPr>
        <w:instrText>ADDIN CSL_CITATION { "citationItems" : [ { "id" : "ITEM-1", "itemData" : { "URL" : "www.scientificamerican.com/article/accident-zone-poorer-neighborhoods/?print=true", "accessed" : { "date-parts" : [ [ "2015", "6", "3" ] ] }, "author" : [ { "dropping-particle" : "", "family" : "Fecht", "given" : "Sarah", "non-dropping-particle" : "", "parse-names" : false, "suffix" : "" } ], "id" : "ITEM-1", "issued" : { "date-parts" : [ [ "2012" ] ] }, "title" : "Accident-Zone: Poorer Neighborhoods Have Less-Safe Road Designs. Scientific American website.", "type" : "webpage" }, "uris" : [ "http://www.mendeley.com/documents/?uuid=24268c85-7f38-4d35-9a47-8be87692c81c" ] }, { "id" : "ITEM-2", "itemData" : { "DOI" : "10.2105/AJPH.2011.300528", "ISBN" : "1541-0048 (Electronic)\\n0090-0036 (Linking)", "ISSN" : "00900036", "PMID" : "22515869", "abstract" : "OBJECTIVES: We examined the extent to which differential traffic volume and road geometry can explain social inequalities in pedestrian, cyclist, and motor vehicle occupant injuries across wealthy and poor urban areas.\\n\\nMETHODS: We performed a multilevel observational study of all road users injured over 5 years (n=19,568) at intersections (n=17,498) in a large urban area (Island of Montreal, Canada). We considered intersection-level (traffic estimates, major roads, number of legs) and area-level (population density, commuting travel modes, household income) characteristics in multilevel Poisson regressions that nested intersections in 506 census tracts.\\n\\nRESULTS: There were significantly more injured pedestrians, cyclists, and motor vehicle occupants at intersections in the poorest than in the richest areas. Controlling for traffic volume, intersection geometry, and pedestrian and cyclist volumes greatly attenuated the event rate ratios between intersections in the poorest and richest areas for injured pedestrians (-70%), cyclists (-44%), and motor vehicle occupants (-44%).\\n\\nCONCLUSIONS: Roadway environment can explain a substantial portion of the excess rate of road traffic injuries in the poorest urban areas.", "author" : [ { "dropping-particle" : "", "family" : "Morency", "given" : "Patrick", "non-dropping-particle" : "", "parse-names" : false, "suffix" : "" }, { "dropping-particle" : "", "family" : "Gauvin", "given" : "Lise", "non-dropping-particle" : "", "parse-names" : false, "suffix" : "" }, { "dropping-particle" : "", "family" : "Plante", "given" : "C\u00e9line", "non-dropping-particle" : "", "parse-names" : false, "suffix" : "" }, { "dropping-particle" : "", "family" : "Fournier", "given" : "Michel", "non-dropping-particle" : "", "parse-names" : false, "suffix" : "" }, { "dropping-particle" : "", "family" : "Morency", "given" : "Catherine", "non-dropping-particle" : "", "parse-names" : false, "suffix" : "" } ], "container-title" : "American Journal of Public Health", "id" : "ITEM-2", "issue" : "6", "issued" : { "date-parts" : [ [ "2012" ] ] }, "page" : "1112-1119", "title" : "Neighborhood social inequalities in road traffic injuries: the influence of traffic volume and road design", "type" : "article-journal", "volume" : "102" }, "uris" : [ "http://www.mendeley.com/documents/?uuid=5db65d08-86ee-46e3-ba9c-417f30bd1dd2" ] } ], "mendeley" : { "formattedCitation" : "&lt;sup&gt;16,17&lt;/sup&gt;", "plainTextFormattedCitation" : "16,17", "previouslyFormattedCitation" : "&lt;sup&gt;16,17&lt;/sup&gt;" }, "properties" : { "noteIndex" : 0 }, "schema" : "https://github.com/citation-style-language/schema/raw/master/csl-citation.json" }</w:instrText>
      </w:r>
      <w:r w:rsidRPr="00AE0F85">
        <w:rPr>
          <w:vertAlign w:val="superscript"/>
        </w:rPr>
        <w:fldChar w:fldCharType="separate"/>
      </w:r>
      <w:r w:rsidRPr="00AE0F85">
        <w:rPr>
          <w:vertAlign w:val="superscript"/>
        </w:rPr>
        <w:t>16,17</w:t>
      </w:r>
      <w:r w:rsidRPr="00AE0F85">
        <w:rPr>
          <w:vertAlign w:val="superscript"/>
        </w:rPr>
        <w:fldChar w:fldCharType="end"/>
      </w:r>
      <w:r w:rsidRPr="00AE0F85">
        <w:t>;</w:t>
      </w:r>
      <w:r w:rsidRPr="003E3863" w:rsidDel="00853867">
        <w:rPr>
          <w:rFonts w:asciiTheme="minorHAnsi" w:hAnsiTheme="minorHAnsi"/>
          <w:color w:val="auto"/>
        </w:rPr>
        <w:t xml:space="preserve"> </w:t>
      </w:r>
    </w:p>
    <w:p w14:paraId="674C4ABE" w14:textId="77777777" w:rsidR="00D62DA9" w:rsidRPr="003E3863" w:rsidRDefault="00D62DA9" w:rsidP="00D62DA9">
      <w:pPr>
        <w:pStyle w:val="BasicParagraph"/>
        <w:spacing w:line="240" w:lineRule="auto"/>
        <w:rPr>
          <w:rFonts w:asciiTheme="minorHAnsi" w:hAnsiTheme="minorHAnsi"/>
          <w:color w:val="auto"/>
        </w:rPr>
      </w:pPr>
    </w:p>
    <w:p w14:paraId="74DC4FFC" w14:textId="77777777" w:rsidR="00D62DA9" w:rsidRPr="00AE0F85" w:rsidRDefault="00D62DA9" w:rsidP="00AE0F85">
      <w:pPr>
        <w:pStyle w:val="BasicParagraph"/>
      </w:pPr>
      <w:r w:rsidRPr="00AE0F85">
        <w:rPr>
          <w:b/>
        </w:rPr>
        <w:t>WHEREAS,</w:t>
      </w:r>
      <w:r w:rsidRPr="00AE0F85">
        <w:t xml:space="preserve"> Complete Streets improve public health and safety by reducing the risk of injuries and fatalities from traffic collisions for users of all modes of transportation</w:t>
      </w:r>
      <w:r w:rsidRPr="00AE0F85">
        <w:rPr>
          <w:vertAlign w:val="superscript"/>
        </w:rPr>
        <w:fldChar w:fldCharType="begin" w:fldLock="1"/>
      </w:r>
      <w:r w:rsidRPr="00AE0F85">
        <w:rPr>
          <w:vertAlign w:val="superscript"/>
        </w:rPr>
        <w:instrText>ADDIN CSL_CITATION { "citationItems" : [ { "id" : "ITEM-1", "itemData" : { "author" : [ { "dropping-particle" : "", "family" : "New York City Department of Transportation", "given" : "", "non-dropping-particle" : "", "parse-names" : false, "suffix" : "" } ], "id" : "ITEM-1", "issue" : "September", "issued" : { "date-parts" : [ [ "2014" ] ] }, "publisher-place" : "New York City, NY", "title" : "Protected Bicycle Lanes in NYC", "type" : "report" }, "uris" : [ "http://www.mendeley.com/documents/?uuid=76f246ba-a120-448e-a7ec-63bb701736a3" ] }, { "id" : "ITEM-2", "itemData" : { "author" : [ { "dropping-particle" : "", "family" : "Health Resources in Action", "given" : "", "non-dropping-particle" : "", "parse-names" : false, "suffix" : "" } ], "id" : "ITEM-2", "issue" : "December", "issued" : { "date-parts" : [ [ "2013" ] ] }, "number-of-pages" : "1-8", "publisher-place" : "Boston, MA", "title" : "Public Health Impact: Community Speed Reduction", "type" : "report" }, "uris" : [ "http://www.mendeley.com/documents/?uuid=9c1a5a21-686f-4fbc-9d5b-9737b17c9db9" ] }, { "id" : "ITEM-3", "itemData" : { "author" : [ { "dropping-particle" : "", "family" : "New York City Department of Transportation", "given" : "", "non-dropping-particle" : "", "parse-names" : false, "suffix" : "" } ], "id" : "ITEM-3", "issue" : "November", "issued" : { "date-parts" : [ [ "2013" ] ] }, "number-of-pages" : "1-30", "publisher-place" : "New York City, NY", "title" : "Making safer streets", "type" : "report" }, "uris" : [ "http://www.mendeley.com/documents/?uuid=1e2c187c-3c46-4cc3-aed7-958dd65da560" ] }, { "id" : "ITEM-4", "itemData" : { "URL" : "www.peopleforbikes.org/blog/entry/car-users-would-prefer-separated-bike-lanes-too-study-finds", "accessed" : { "date-parts" : [ [ "2015", "6", "3" ] ] }, "author" : [ { "dropping-particle" : "", "family" : "Andersen", "given" : "Michael", "non-dropping-particle" : "", "parse-names" : false, "suffix" : "" } ], "id" : "ITEM-4", "issued" : { "date-parts" : [ [ "0" ] ] }, "title" : "Car Users Would Prefer Separated Bike Lanes Too, Study Finds. People for Bikes website.", "type" : "webpage" }, "uris" : [ "http://www.mendeley.com/documents/?uuid=a51a1fd4-028f-4f9d-8417-8ede888ecbe9" ] }, { "id" : "ITEM-5", "itemData" : { "author" : [ { "dropping-particle" : "", "family" : "National Complete Streets Coalition", "given" : "", "non-dropping-particle" : "", "parse-names" : false, "suffix" : "" }, { "dropping-particle" : "", "family" : "Local Government Commission", "given" : "", "non-dropping-particle" : "", "parse-names" : false, "suffix" : "" } ], "id" : "ITEM-5", "issued" : { "date-parts" : [ [ "2012" ] ] }, "publisher-place" : "Sacramento, CA", "title" : "It's a Safe Decision, Complete Streets in California", "type" : "report" }, "uris" : [ "http://www.mendeley.com/documents/?uuid=650448a7-5b61-433b-a736-84d208b78aa9" ] }, { "id" : "ITEM-6", "itemData" : { "DOI" : "10.2105/AJPH.2012.300762", "ISBN" : "1541-0048", "ISSN" : "00900036", "PMID" : "23078480", "abstract" : "OBJECTIVES: We compared cycling injury risks of 14 route types and other route infrastructure features. METHODS: We recruited 690 city residents injured while cycling in Toronto or Vancouver, Canada. A case-crossover design compared route infrastructure at each injury site to that of a randomly selected control site from the same trip. RESULTS: Of 14 route types, cycle tracks had the lowest risk (adjusted odds ratio [OR] = 0.11; 95% confidence interval [CI] = 0.02, 0.54), about one ninth the risk of the reference: major streets with parked cars and no bike infrastructure. Risks on major streets were lower without parked cars (adjusted OR = 0.63; 95% CI = 0.41, 0.96) and with bike lanes (adjusted OR = 0.54; 95% CI = 0.29, 1.01). Local streets also had lower risks (adjusted OR = 0.51; 95% CI = 0.31, 0.84). Other infrastructure characteristics were associated with increased risks: streetcar or train tracks (adjusted OR = 3.0; 95% CI = 1.8, 5.1), downhill grades (adjusted OR = 2.3; 95% CI = 1.7, 3.1), and construction (adjusted OR = 1.9; 95% CI = 1.3, 2.9). CONCLUSIONS: The lower risks on quiet streets and with bike-specific infrastructure along busy streets support the route-design approach used in many northern European countries. Transportation infrastructure with lower bicycling injury risks merits public health support to reduce injuries and promote cycling.", "author" : [ { "dropping-particle" : "", "family" : "Teschke", "given" : "Kay", "non-dropping-particle" : "", "parse-names" : false, "suffix" : "" }, { "dropping-particle" : "", "family" : "Harris", "given" : "M. Anne", "non-dropping-particle" : "", "parse-names" : false, "suffix" : "" }, { "dropping-particle" : "", "family" : "Reynolds", "given" : "Conor", "non-dropping-particle" : "", "parse-names" : false, "suffix" : "" }, { "dropping-particle" : "", "family" : "Winters", "given" : "Meghan", "non-dropping-particle" : "", "parse-names" : false, "suffix" : "" }, { "dropping-particle" : "", "family" : "Babul", "given" : "Shelina", "non-dropping-particle" : "", "parse-names" : false, "suffix" : "" }, { "dropping-particle" : "", "family" : "Chipman", "given" : "Mary", "non-dropping-particle" : "", "parse-names" : false, "suffix" : "" }, { "dropping-particle" : "", "family" : "Cusimano", "given" : "Michael", "non-dropping-particle" : "", "parse-names" : false, "suffix" : "" }, { "dropping-particle" : "", "family" : "Brubacher", "given" : "Jeff", "non-dropping-particle" : "", "parse-names" : false, "suffix" : "" }, { "dropping-particle" : "", "family" : "Hunte", "given" : "Garth", "non-dropping-particle" : "", "parse-names" : false, "suffix" : "" }, { "dropping-particle" : "", "family" : "Friedman", "given" : "Steven", "non-dropping-particle" : "", "parse-names" : false, "suffix" : "" }, { "dropping-particle" : "", "family" : "Monro", "given" : "Melody", "non-dropping-particle" : "", "parse-names" : false, "suffix" : "" }, { "dropping-particle" : "", "family" : "Shen", "given" : "Hui", "non-dropping-particle" : "", "parse-names" : false, "suffix" : "" }, { "dropping-particle" : "", "family" : "Vernich", "given" : "Lee", "non-dropping-particle" : "", "parse-names" : false, "suffix" : "" }, { "dropping-particle" : "", "family" : "Cripton", "given" : "Peter", "non-dropping-particle" : "", "parse-names" : false, "suffix" : "" } ], "container-title" : "American Journal of Public Health", "id" : "ITEM-6", "issue" : "12", "issued" : { "date-parts" : [ [ "2012" ] ] }, "page" : "2336-2343", "title" : "Route infrastructure and the risk of injuries to bicyclists: a case-crossover study", "type" : "article-journal", "volume" : "102" }, "uris" : [ "http://www.mendeley.com/documents/?uuid=47a806b1-dd61-4e4c-9e9c-9524ecabcb20" ] }, { "id" : "ITEM-7", "itemData" : { "author" : [ { "dropping-particle" : "", "family" : "New York City Department of Transportation", "given" : "", "non-dropping-particle" : "", "parse-names" : false, "suffix" : "" } ], "id" : "ITEM-7", "issued" : { "date-parts" : [ [ "2012" ] ] }, "publisher-place" : "New York City, NY", "title" : "Measuring the Street: New Metrics for 21st Century Streets", "type" : "report" }, "uris" : [ "http://www.mendeley.com/documents/?uuid=c4113062-f623-468c-b1e6-182fc82f5495" ] }, { "id" : "ITEM-8", "itemData" : { "author" : [ { "dropping-particle" : "", "family" : "National Complete Streets Coalition", "given" : "", "non-dropping-particle" : "", "parse-names" : false, "suffix" : "" }, { "dropping-particle" : "", "family" : "Smart Growth America", "given" : "", "non-dropping-particle" : "", "parse-names" : false, "suffix" : "" } ], "id" : "ITEM-8", "issued" : { "date-parts" : [ [ "2009" ] ] }, "publisher-place" : "Washington, D.C.", "title" : "Complete Streets Improve Safety", "type" : "report" }, "uris" : [ "http://www.mendeley.com/documents/?uuid=a03e0fcf-d9b3-4dc8-9b08-2ee3a00a6da5" ] }, { "id" : "ITEM-9", "itemData" : { "DOI" : "10.1186/1476-069X-8-47", "ISBN" : "1476-069X", "ISSN" : "1476-069X", "PMID" : "19845962", "abstract" : "BACKGROUND: Bicycling has the potential to improve fitness, diminish obesity, and reduce noise, air pollution, and greenhouse gases associated with travel. However, bicyclists incur a higher risk of injuries requiring hospitalization than motor vehicle occupants. Therefore, understanding ways of making bicycling safer and increasing rates of bicycling are important to improving population health. There is a growing body of research examining transportation infrastructure and the risk of injury to bicyclists. METHODS: We reviewed studies of the impact of transportation infrastructure on bicyclist safety. The results were tabulated within two categories of infrastructure, namely that at intersections (e.g. roundabouts, traffic lights) or between intersections on \"straightaways\" (e.g. bike lanes or paths). To assess safety, studies examining the following outcomes were included: injuries; injury severity; and crashes (collisions and/or falls). RESULTS: The literature to date on transportation infrastructure and cyclist safety is limited by the incomplete range of facilities studied and difficulties in controlling for exposure to risk. However, evidence from the 23 papers reviewed (eight that examined intersections and 15 that examined straightaways) suggests that infrastructure influences injury and crash risk. Intersection studies focused mainly on roundabouts. They found that multi-lane roundabouts can significantly increase risk to bicyclists unless a separated cycle track is included in the design. Studies of straightaways grouped facilities into few categories, such that facilities with potentially different risks may have been classified within a single category. Results to date suggest that sidewalks and multi-use trails pose the highest risk, major roads are more hazardous than minor roads, and the presence of bicycle facilities (e.g. on-road bike routes, on-road marked bike lanes, and off-road bike paths) was associated with the lowest risk. CONCLUSION: Evidence is beginning to accumulate that purpose-built bicycle-specific facilities reduce crashes and injuries among cyclists, providing the basis for initial transportation engineering guidelines for cyclist safety. Street lighting, paved surfaces, and low-angled grades are additional factors that appear to improve cyclist safety. Future research examining a greater variety of infrastructure would allow development of more detailed guidelines.", "author" : [ { "dropping-particle" : "", "family" : "Reynolds", "given" : "Conor", "non-dropping-particle" : "", "parse-names" : false, "suffix" : "" }, { "dropping-particle" : "", "family" : "Harris", "given" : "M Anne", "non-dropping-particle" : "", "parse-names" : false, "suffix" : "" }, { "dropping-particle" : "", "family" : "Teschke", "given" : "Kay", "non-dropping-particle" : "", "parse-names" : false, "suffix" : "" }, { "dropping-particle" : "", "family" : "Cripton", "given" : "Peter", "non-dropping-particle" : "", "parse-names" : false, "suffix" : "" }, { "dropping-particle" : "", "family" : "Winters", "given" : "Meghan", "non-dropping-particle" : "", "parse-names" : false, "suffix" : "" } ], "container-title" : "Environmental Health", "id" : "ITEM-9", "issue" : "47", "issued" : { "date-parts" : [ [ "2009" ] ] }, "page" : "1-19", "title" : "The impact of transportation infrastructure on bicycling injuries and crashes: a review of the literature", "type" : "article-journal", "volume" : "8" }, "uris" : [ "http://www.mendeley.com/documents/?uuid=4a932ded-1831-4ea5-9c17-bf9c0369f107" ] } ], "mendeley" : { "formattedCitation" : "&lt;sup&gt;1,2,18\u201324&lt;/sup&gt;", "plainTextFormattedCitation" : "1,2,18\u201324", "previouslyFormattedCitation" : "&lt;sup&gt;1,2,18\u201324&lt;/sup&gt;" }, "properties" : { "noteIndex" : 0 }, "schema" : "https://github.com/citation-style-language/schema/raw/master/csl-citation.json" }</w:instrText>
      </w:r>
      <w:r w:rsidRPr="00AE0F85">
        <w:rPr>
          <w:vertAlign w:val="superscript"/>
        </w:rPr>
        <w:fldChar w:fldCharType="separate"/>
      </w:r>
      <w:r w:rsidRPr="00AE0F85">
        <w:rPr>
          <w:vertAlign w:val="superscript"/>
        </w:rPr>
        <w:t>1,2,18–24</w:t>
      </w:r>
      <w:r w:rsidRPr="00AE0F85">
        <w:rPr>
          <w:vertAlign w:val="superscript"/>
        </w:rPr>
        <w:fldChar w:fldCharType="end"/>
      </w:r>
      <w:r w:rsidRPr="00AE0F85">
        <w:t>;</w:t>
      </w:r>
    </w:p>
    <w:p w14:paraId="42F56524" w14:textId="77777777" w:rsidR="00D62DA9" w:rsidRPr="00AE0F85" w:rsidRDefault="00D62DA9" w:rsidP="00AE0F85">
      <w:pPr>
        <w:pStyle w:val="BasicParagraph"/>
      </w:pPr>
    </w:p>
    <w:p w14:paraId="5B35F3D0" w14:textId="77777777" w:rsidR="00D62DA9" w:rsidRPr="00AE0F85" w:rsidRDefault="00D62DA9" w:rsidP="00AE0F85">
      <w:pPr>
        <w:pStyle w:val="BasicParagraph"/>
      </w:pPr>
      <w:r w:rsidRPr="00AE0F85">
        <w:rPr>
          <w:b/>
        </w:rPr>
        <w:t>WHEREAS,</w:t>
      </w:r>
      <w:r w:rsidRPr="00AE0F85">
        <w:t xml:space="preserve"> streets that are designed with the safety and convenience of pedestrians and bicyclists in mind increase the number of people walking and bicycling</w:t>
      </w:r>
      <w:r w:rsidRPr="00AE0F85">
        <w:rPr>
          <w:vertAlign w:val="superscript"/>
        </w:rPr>
        <w:fldChar w:fldCharType="begin" w:fldLock="1"/>
      </w:r>
      <w:r w:rsidRPr="00AE0F85">
        <w:rPr>
          <w:vertAlign w:val="superscript"/>
        </w:rPr>
        <w:instrText>ADDIN CSL_CITATION { "citationItems" : [ { "id" : "ITEM-1", "itemData" : { "DOI" : "10.1007/s11524-010-9509-6", "ISBN" : "1099-3460", "ISSN" : "10993460", "PMID" : "21174189", "abstract" : "A growing body of evidence links the built environment to physical activity levels, health outcomes, and transportation behaviors. However, little of this research has focused on cycling, a sustainable transportation option with great potential for growth in North America. This study examines associations between decisions to bicycle (versus drive) and the built environment, with explicit consideration of three different spatial zones that may be relevant in travel behavior: trip origins, trip destinations, and along the route between. We analyzed 3,280 utilitarian bicycle and car trips in Metro Vancouver, Canada made by 1,902 adults, including both current and potential cyclists. Objective measures were developed for built environment characteristics related to the physical environment, land use patterns, the road network, and bicycle-specific facilities. Multilevel logistic regression was used to model the likelihood that a trip was made by bicycle, adjusting for trip distance and personal demographics. Separate models were constructed for each spatial zone, and a global model examined the relative influence of the three zones. In total, 31% (1,023 out of 3,280) of trips were made by bicycle. Increased odds of bicycling were associated with less hilliness; higher intersection density; less highways and arterials; presence of bicycle signage, traffic calming, and cyclist-activated traffic lights; more neighborhood commercial, educational, and industrial land uses; greater land use mix; and higher population density. Different factors were important within each spatial zone. Overall, the characteristics of routes were more influential than origin or destination characteristics. These findings indicate that the built environment has a significant influence on healthy travel decisions, and spatial context is important. Future research should explicitly consider relevant spatial zones when investigating the relationship between physical activity and urban form.", "author" : [ { "dropping-particle" : "", "family" : "Winters", "given" : "Meghan", "non-dropping-particle" : "", "parse-names" : false, "suffix" : "" }, { "dropping-particle" : "", "family" : "Brauer", "given" : "Michael", "non-dropping-particle" : "", "parse-names" : false, "suffix" : "" }, { "dropping-particle" : "", "family" : "Setton", "given" : "Eleanor M.", "non-dropping-particle" : "", "parse-names" : false, "suffix" : "" }, { "dropping-particle" : "", "family" : "Teschke", "given" : "Kay", "non-dropping-particle" : "", "parse-names" : false, "suffix" : "" } ], "container-title" : "Journal of Urban Health", "id" : "ITEM-1", "issue" : "6", "issued" : { "date-parts" : [ [ "2010" ] ] }, "page" : "969-993", "title" : "Built environment influences on healthy transportation choices: bicycling versus driving", "type" : "article-journal", "volume" : "87" }, "uris" : [ "http://www.mendeley.com/documents/?uuid=98db5d91-0b18-496c-ae82-55aeae078340" ] }, { "id" : "ITEM-2", "itemData" : { "DOI" : "10.1136/jech.2003.017509", "ISBN" : "0143-005X (Print)\\r0143-005X (Linking)", "ISSN" : "0143-005X", "PMID" : "15365109", "abstract" : "STUDY OBJECTIVE: To assess the secondary health impacts of a traffic calming scheme on a community. METHODS: Prospective cohort study of a randomly selected sample of the local community using postal questionnaires and pedestrian counts on the affected road six months before and six months after the implementation of the scheme. The setting was a community in which a traffic calming scheme was built in the main road (2587 households). The Short Form 36 version 2 was included in the questionnaire and summary measures of physical health (physical component summary) and mental health (mental component summary) calculated. A random sample of 750 households was initially posted the pre-intervention questionnaire. MAIN RESULTS: There were increases in observed pedestrian activity in the area after the introduction of the traffic calming scheme. Physical health improved significantly but mental health did not change. Traffic related problems improved, while other local nuisances were reported to be worse. CONCLUSIONS: The introduction of a traffic calming scheme is associated with improvements in health and health related behaviours. It is feasible to prospectively evaluate broader health impacts of similar transport interventions although poor response rates may limit the validity of results.", "author" : [ { "dropping-particle" : "", "family" : "Morrison", "given" : "David S", "non-dropping-particle" : "", "parse-names" : false, "suffix" : "" }, { "dropping-particle" : "", "family" : "Thomson", "given" : "Hilary", "non-dropping-particle" : "", "parse-names" : false, "suffix" : "" }, { "dropping-particle" : "", "family" : "Petticrew", "given" : "Mark", "non-dropping-particle" : "", "parse-names" : false, "suffix" : "" } ], "container-title" : "Journal of Epidemiology &amp; Community Health", "id" : "ITEM-2", "issue" : "10", "issued" : { "date-parts" : [ [ "2004" ] ] }, "page" : "837-840", "title" : "Evaluation of the health effects of a neighbourhood traffic calming scheme", "type" : "article-journal", "volume" : "58" }, "uris" : [ "http://www.mendeley.com/documents/?uuid=133ddd53-15ae-4be1-b15d-57f93d0475af" ] }, { "id" : "ITEM-3", "itemData" : { "ISBN" : "2022073355", "author" : [ { "dropping-particle" : "", "family" : "National Complete Streets Coalition", "given" : "", "non-dropping-particle" : "", "parse-names" : false, "suffix" : "" }, { "dropping-particle" : "", "family" : "Smart Growth America", "given" : "", "non-dropping-particle" : "", "parse-names" : false, "suffix" : "" } ], "id" : "ITEM-3", "issued" : { "date-parts" : [ [ "0" ] ] }, "publisher-place" : "Washington, D.C.", "title" : "Complete Streets Change Travel Patterns", "type" : "report" }, "uris" : [ "http://www.mendeley.com/documents/?uuid=2b8348be-e248-4759-840d-8f424bd3ba71" ] } ], "mendeley" : { "formattedCitation" : "&lt;sup&gt;25\u201327&lt;/sup&gt;", "plainTextFormattedCitation" : "25\u201327", "previouslyFormattedCitation" : "&lt;sup&gt;25\u201327&lt;/sup&gt;" }, "properties" : { "noteIndex" : 0 }, "schema" : "https://github.com/citation-style-language/schema/raw/master/csl-citation.json" }</w:instrText>
      </w:r>
      <w:r w:rsidRPr="00AE0F85">
        <w:rPr>
          <w:vertAlign w:val="superscript"/>
        </w:rPr>
        <w:fldChar w:fldCharType="separate"/>
      </w:r>
      <w:r w:rsidRPr="00AE0F85">
        <w:rPr>
          <w:vertAlign w:val="superscript"/>
        </w:rPr>
        <w:t>25–27</w:t>
      </w:r>
      <w:r w:rsidRPr="00AE0F85">
        <w:rPr>
          <w:vertAlign w:val="superscript"/>
        </w:rPr>
        <w:fldChar w:fldCharType="end"/>
      </w:r>
      <w:r w:rsidRPr="00AE0F85">
        <w:t xml:space="preserve">; </w:t>
      </w:r>
    </w:p>
    <w:p w14:paraId="3FD75551" w14:textId="77777777" w:rsidR="00D62DA9" w:rsidRPr="00AE0F85" w:rsidRDefault="00D62DA9" w:rsidP="00AE0F85">
      <w:pPr>
        <w:pStyle w:val="BasicParagraph"/>
      </w:pPr>
    </w:p>
    <w:p w14:paraId="42F0EDB3" w14:textId="77777777" w:rsidR="00D62DA9" w:rsidRPr="00AE0F85" w:rsidRDefault="00D62DA9" w:rsidP="00AE0F85">
      <w:pPr>
        <w:pStyle w:val="BasicParagraph"/>
      </w:pPr>
      <w:r w:rsidRPr="00AE0F85">
        <w:rPr>
          <w:b/>
        </w:rPr>
        <w:t>WHEREAS</w:t>
      </w:r>
      <w:r w:rsidRPr="00AE0F85">
        <w:t>, a balanced transportation system that includes Complete Streets is conducive to streets that are lively with people walking and bicycling to everyday destinations, such as schools, shops, restaurants, businesses, parks, transit, and jobs, which in turn enhance neighborhood economic vitality</w:t>
      </w:r>
      <w:r w:rsidRPr="00AE0F85">
        <w:rPr>
          <w:vertAlign w:val="superscript"/>
        </w:rPr>
        <w:fldChar w:fldCharType="begin" w:fldLock="1"/>
      </w:r>
      <w:r w:rsidRPr="00AE0F85">
        <w:rPr>
          <w:vertAlign w:val="superscript"/>
        </w:rPr>
        <w:instrText>ADDIN CSL_CITATION { "citationItems" : [ { "id" : "ITEM-1", "itemData" : { "URL" : "https://urbanful.org/2015/03/02/cities-and-businesses-discover-that-cycling-pays/?utm_source=Urbanful+Master+List&amp;utm_campaign=c64d6e99aa-March_2_Newsletter_A_B_Test3_2_2015&amp;utm_medium=email&amp;utm_term=0_fdf64fbc84-c64d6e99aa-197206929", "accessed" : { "date-parts" : [ [ "2015", "5", "6" ] ] }, "author" : [ { "dropping-particle" : "", "family" : "Szczepanski", "given" : "Carolyn", "non-dropping-particle" : "", "parse-names" : false, "suffix" : "" } ], "id" : "ITEM-1", "issued" : { "date-parts" : [ [ "2013" ] ] }, "title" : "Cities and Businesses Discover That Cycling Pays. Urbanful website.", "type" : "webpage" }, "uris" : [ "http://www.mendeley.com/documents/?uuid=4e27f51a-eb80-4eab-9890-4d8771b18e07" ] }, { "id" : "ITEM-2", "itemData" : { "author" : [ { "dropping-particle" : "", "family" : "National Complete Streets Coalition", "given" : "", "non-dropping-particle" : "", "parse-names" : false, "suffix" : "" }, { "dropping-particle" : "", "family" : "Smart Growth America", "given" : "", "non-dropping-particle" : "", "parse-names" : false, "suffix" : "" } ], "id" : "ITEM-2", "issued" : { "date-parts" : [ [ "2015" ] ] }, "publisher-place" : "Washington, D.C.", "title" : "Safer Streets, Stronger Economies: Complete Streets project outcomes from across the country", "type" : "report" }, "uris" : [ "http://www.mendeley.com/documents/?uuid=4bead501-7bed-4cd8-92a0-2a583be7d61c" ] }, { "id" : "ITEM-3", "itemData" : { "author" : [ { "dropping-particle" : "", "family" : "New York City Department of Transporation", "given" : "", "non-dropping-particle" : "", "parse-names" : false, "suffix" : "" } ], "id" : "ITEM-3", "issued" : { "date-parts" : [ [ "2013" ] ] }, "number-of-pages" : "1-43", "publisher-place" : "New York City, NY", "title" : "The economic benefits of sustainable streets", "type" : "report" }, "uris" : [ "http://www.mendeley.com/documents/?uuid=05fe24d7-f80e-4a87-8b95-43ba2adea939" ] }, { "id" : "ITEM-4", "itemData" : { "author" : [ { "dropping-particle" : "", "family" : "New York City Department of Transportation", "given" : "", "non-dropping-particle" : "", "parse-names" : false, "suffix" : "" } ], "id" : "ITEM-4", "issued" : { "date-parts" : [ [ "2012" ] ] }, "publisher-place" : "New York City, NY", "title" : "Measuring the Street: New Metrics for 21st Century Streets", "type" : "report" }, "uris" : [ "http://www.mendeley.com/documents/?uuid=c4113062-f623-468c-b1e6-182fc82f5495" ] }, { "id" : "ITEM-5", "itemData" : { "author" : [ { "dropping-particle" : "", "family" : "National Complete Streets Coalition", "given" : "", "non-dropping-particle" : "", "parse-names" : false, "suffix" : "" }, { "dropping-particle" : "", "family" : "Local Government Commission", "given" : "", "non-dropping-particle" : "", "parse-names" : false, "suffix" : "" } ], "id" : "ITEM-5", "issued" : { "date-parts" : [ [ "2012" ] ] }, "publisher-place" : "Sacramento, CA", "title" : "It's a Safe Decision, Complete Streets in California", "type" : "report" }, "uris" : [ "http://www.mendeley.com/documents/?uuid=650448a7-5b61-433b-a736-84d208b78aa9" ] }, { "id" : "ITEM-6", "itemData" : { "author" : [ { "dropping-particle" : "", "family" : "Cortright", "given" : "Joe", "non-dropping-particle" : "", "parse-names" : false, "suffix" : "" } ], "id" : "ITEM-6", "issued" : { "date-parts" : [ [ "2009" ] ] }, "number-of-pages" : "1-30", "publisher-place" : "Clevland, OH", "title" : "Walking the Walk: How Walkability Raises Home Values in U.S. Cities", "type" : "report" }, "uris" : [ "http://www.mendeley.com/documents/?uuid=ccf29941-65e1-4e8c-a172-3fa0fc8394f1" ] }, { "id" : "ITEM-7", "itemData" : { "author" : [ { "dropping-particle" : "", "family" : "National Complete Streets Coalition", "given" : "", "non-dropping-particle" : "", "parse-names" : false, "suffix" : "" }, { "dropping-particle" : "", "family" : "Smart Growth America", "given" : "", "non-dropping-particle" : "", "parse-names" : false, "suffix" : "" } ], "id" : "ITEM-7", "issued" : { "date-parts" : [ [ "0" ] ] }, "number-of-pages" : "1-3", "publisher-place" : "Washington, D.C.", "title" : "Complete Streets Stimulate the Local Economy", "type" : "report" }, "uris" : [ "http://www.mendeley.com/documents/?uuid=9f6926f4-00f0-4b85-bc27-811b71aaeeea" ] } ], "mendeley" : { "formattedCitation" : "&lt;sup&gt;20,22,28\u201332&lt;/sup&gt;", "plainTextFormattedCitation" : "20,22,28\u201332", "previouslyFormattedCitation" : "&lt;sup&gt;20,22,28\u201332&lt;/sup&gt;" }, "properties" : { "noteIndex" : 0 }, "schema" : "https://github.com/citation-style-language/schema/raw/master/csl-citation.json" }</w:instrText>
      </w:r>
      <w:r w:rsidRPr="00AE0F85">
        <w:rPr>
          <w:vertAlign w:val="superscript"/>
        </w:rPr>
        <w:fldChar w:fldCharType="separate"/>
      </w:r>
      <w:r w:rsidRPr="00AE0F85">
        <w:rPr>
          <w:vertAlign w:val="superscript"/>
        </w:rPr>
        <w:t>20,22,28–32</w:t>
      </w:r>
      <w:r w:rsidRPr="00AE0F85">
        <w:rPr>
          <w:vertAlign w:val="superscript"/>
        </w:rPr>
        <w:fldChar w:fldCharType="end"/>
      </w:r>
      <w:r w:rsidRPr="00AE0F85">
        <w:t xml:space="preserve"> and livability</w:t>
      </w:r>
      <w:r w:rsidRPr="00AE0F85">
        <w:rPr>
          <w:vertAlign w:val="superscript"/>
        </w:rPr>
        <w:fldChar w:fldCharType="begin" w:fldLock="1"/>
      </w:r>
      <w:r w:rsidRPr="00AE0F85">
        <w:rPr>
          <w:vertAlign w:val="superscript"/>
        </w:rPr>
        <w:instrText>ADDIN CSL_CITATION { "citationItems" : [ { "id" : "ITEM-1", "itemData" : { "author" : [ { "dropping-particle" : "", "family" : "AARP Public Policy Institute", "given" : "", "non-dropping-particle" : "", "parse-names" : false, "suffix" : "" } ], "id" : "ITEM-1", "issued" : { "date-parts" : [ [ "2014" ] ] }, "publisher-place" : "Washington, D.C.", "title" : "What is Livable? Community Preferences of Older Adults", "type" : "report" }, "uris" : [ "http://www.mendeley.com/documents/?uuid=15265b62-e115-4b4b-9985-c7d041fd0299" ] }, { "id" : "ITEM-2", "itemData" : { "author" : [ { "dropping-particle" : "", "family" : "Victoria Transportation Policy Institute", "given" : "", "non-dropping-particle" : "", "parse-names" : false, "suffix" : "" } ], "id" : "ITEM-2", "issued" : { "date-parts" : [ [ "2014" ] ] }, "number-of-pages" : "1-29", "publisher-place" : "Victoria, Canada", "title" : "Evaluating Complete Streets: The Value of Designing Roads For Diverse Modes, Users and Activities", "type" : "report" }, "uris" : [ "http://www.mendeley.com/documents/?uuid=8cd91a44-ff9d-419f-8837-2e67882ecd1c" ] }, { "id" : "ITEM-3", "itemData" : { "author" : [ { "dropping-particle" : "", "family" : "National Association of Regional Councils", "given" : "", "non-dropping-particle" : "", "parse-names" : false, "suffix" : "" }, { "dropping-particle" : "", "family" : "Federal Highway Administration", "given" : "", "non-dropping-particle" : "", "parse-names" : false, "suffix" : "" } ], "id" : "ITEM-3", "issued" : { "date-parts" : [ [ "2012" ] ] }, "number-of-pages" : "1-28", "publisher-place" : "Washington, D.C.", "title" : "Livability Literature Review: A Synthesis of Current Practice", "type" : "report" }, "uris" : [ "http://www.mendeley.com/documents/?uuid=fd331373-d93b-4081-b17f-81722b93b4e5" ] } ], "mendeley" : { "formattedCitation" : "&lt;sup&gt;33\u201335&lt;/sup&gt;", "plainTextFormattedCitation" : "33\u201335", "previouslyFormattedCitation" : "&lt;sup&gt;33\u201335&lt;/sup&gt;" }, "properties" : { "noteIndex" : 0 }, "schema" : "https://github.com/citation-style-language/schema/raw/master/csl-citation.json" }</w:instrText>
      </w:r>
      <w:r w:rsidRPr="00AE0F85">
        <w:rPr>
          <w:vertAlign w:val="superscript"/>
        </w:rPr>
        <w:fldChar w:fldCharType="separate"/>
      </w:r>
      <w:r w:rsidRPr="00AE0F85">
        <w:rPr>
          <w:vertAlign w:val="superscript"/>
        </w:rPr>
        <w:t>33–35</w:t>
      </w:r>
      <w:r w:rsidRPr="00AE0F85">
        <w:rPr>
          <w:vertAlign w:val="superscript"/>
        </w:rPr>
        <w:fldChar w:fldCharType="end"/>
      </w:r>
      <w:r w:rsidRPr="00AE0F85">
        <w:t xml:space="preserve">; </w:t>
      </w:r>
    </w:p>
    <w:p w14:paraId="7E93058E" w14:textId="77777777" w:rsidR="00AE0F85" w:rsidRDefault="00AE0F85" w:rsidP="00AE0F85">
      <w:pPr>
        <w:pStyle w:val="BasicParagraph"/>
        <w:rPr>
          <w:b/>
        </w:rPr>
      </w:pPr>
    </w:p>
    <w:p w14:paraId="2FDBCDBC" w14:textId="77C5E945" w:rsidR="00D62DA9" w:rsidRPr="00AE0F85" w:rsidRDefault="00D62DA9" w:rsidP="00AE0F85">
      <w:pPr>
        <w:pStyle w:val="BasicParagraph"/>
      </w:pPr>
      <w:r w:rsidRPr="00AE0F85">
        <w:rPr>
          <w:b/>
        </w:rPr>
        <w:t>WHEREAS,</w:t>
      </w:r>
      <w:r w:rsidRPr="00AE0F85">
        <w:t xml:space="preserve"> encouraging people to walk, bicycle, and use public transit saves energy resources, reduces air pollution, and reduces emissions of greenhouse gases</w:t>
      </w:r>
      <w:r w:rsidRPr="00AE0F85">
        <w:rPr>
          <w:vertAlign w:val="superscript"/>
        </w:rPr>
        <w:fldChar w:fldCharType="begin" w:fldLock="1"/>
      </w:r>
      <w:r w:rsidRPr="00AE0F85">
        <w:rPr>
          <w:vertAlign w:val="superscript"/>
        </w:rPr>
        <w:instrText>ADDIN CSL_CITATION { "citationItems" : [ { "id" : "ITEM-1", "itemData" : { "author" : [ { "dropping-particle" : "", "family" : "Victoria Transportation Policy Institute", "given" : "", "non-dropping-particle" : "", "parse-names" : false, "suffix" : "" } ], "id" : "ITEM-1", "issued" : { "date-parts" : [ [ "2015" ] ] }, "publisher-place" : "Victoria, Canada", "title" : "Evaluating Active Transportation Benefits and Costs", "type" : "report" }, "uris" : [ "http://www.mendeley.com/documents/?uuid=ae3ad36f-1e7a-4a1c-8de8-9f75469bb0b0" ] }, { "id" : "ITEM-2", "itemData" : { "DOI" : "10.1289/ehp.1103440", "author" : [ { "dropping-particle" : "", "family" : "Grabow", "given" : "Maggie L.", "non-dropping-particle" : "", "parse-names" : false, "suffix" : "" }, { "dropping-particle" : "", "family" : "Spak", "given" : "Scott N.", "non-dropping-particle" : "", "parse-names" : false, "suffix" : "" }, { "dropping-particle" : "", "family" : "Holloway", "given" : "Tracey", "non-dropping-particle" : "", "parse-names" : false, "suffix" : "" }, { "dropping-particle" : "", "family" : "Stone Jr.", "given" : "Brian", "non-dropping-particle" : "", "parse-names" : false, "suffix" : "" }, { "dropping-particle" : "", "family" : "Mednick", "given" : "Adam C.", "non-dropping-particle" : "", "parse-names" : false, "suffix" : "" }, { "dropping-particle" : "", "family" : "Patz", "given" : "Jonathan A.", "non-dropping-particle" : "", "parse-names" : false, "suffix" : "" } ], "container-title" : "Environmental Health Perspectives", "id" : "ITEM-2", "issue" : "1", "issued" : { "date-parts" : [ [ "2012" ] ] }, "page" : "68-76", "title" : "Air quality and exericse-related health benefits from reduced car travel in the midwestern United States", "type" : "article-journal", "volume" : "120" }, "uris" : [ "http://www.mendeley.com/documents/?uuid=c0b2fc31-cc90-49fc-84be-5e7f2e2d0b79" ] }, { "id" : "ITEM-3", "itemData" : { "author" : [ { "dropping-particle" : "", "family" : "California Environmental Protection Agency", "given" : "", "non-dropping-particle" : "", "parse-names" : false, "suffix" : "" } ], "id" : "ITEM-3", "issued" : { "date-parts" : [ [ "2015" ] ] }, "publisher-place" : "Sacramento, CA", "title" : "Bicycle Fact Sheet", "type" : "report" }, "uris" : [ "http://www.mendeley.com/documents/?uuid=4dd2394a-3c03-4d1a-928c-80b633c362c4" ] } ], "mendeley" : { "formattedCitation" : "&lt;sup&gt;36\u201338&lt;/sup&gt;", "plainTextFormattedCitation" : "36\u201338", "previouslyFormattedCitation" : "&lt;sup&gt;36\u201338&lt;/sup&gt;" }, "properties" : { "noteIndex" : 0 }, "schema" : "https://github.com/citation-style-language/schema/raw/master/csl-citation.json" }</w:instrText>
      </w:r>
      <w:r w:rsidRPr="00AE0F85">
        <w:rPr>
          <w:vertAlign w:val="superscript"/>
        </w:rPr>
        <w:fldChar w:fldCharType="separate"/>
      </w:r>
      <w:r w:rsidRPr="00AE0F85">
        <w:rPr>
          <w:vertAlign w:val="superscript"/>
        </w:rPr>
        <w:t>36–38</w:t>
      </w:r>
      <w:r w:rsidRPr="00AE0F85">
        <w:rPr>
          <w:vertAlign w:val="superscript"/>
        </w:rPr>
        <w:fldChar w:fldCharType="end"/>
      </w:r>
      <w:r w:rsidRPr="00AE0F85">
        <w:t xml:space="preserve">; </w:t>
      </w:r>
    </w:p>
    <w:p w14:paraId="3614BA70" w14:textId="77777777" w:rsidR="00AE0F85" w:rsidRDefault="00AE0F85" w:rsidP="00AE0F85">
      <w:pPr>
        <w:pStyle w:val="BasicParagraph"/>
        <w:rPr>
          <w:b/>
        </w:rPr>
      </w:pPr>
    </w:p>
    <w:p w14:paraId="1E7079BE" w14:textId="694924C6" w:rsidR="00D62DA9" w:rsidRPr="00AE0F85" w:rsidRDefault="00D62DA9" w:rsidP="00AE0F85">
      <w:pPr>
        <w:pStyle w:val="BasicParagraph"/>
      </w:pPr>
      <w:r w:rsidRPr="00AE0F85">
        <w:rPr>
          <w:b/>
        </w:rPr>
        <w:t>WHEREAS,</w:t>
      </w:r>
      <w:r w:rsidRPr="00AE0F85">
        <w:t xml:space="preserve"> Complete Streets encourage an active lifestyle by creating opportunities to integrate physical activity into daily activities,</w:t>
      </w:r>
      <w:r w:rsidRPr="00AE0F85">
        <w:rPr>
          <w:rStyle w:val="EndnoteReference"/>
          <w:rFonts w:cs="Times-Roman"/>
          <w:color w:val="000000"/>
          <w:position w:val="0"/>
          <w:sz w:val="24"/>
        </w:rPr>
        <w:fldChar w:fldCharType="begin" w:fldLock="1"/>
      </w:r>
      <w:r w:rsidRPr="00AE0F85">
        <w:rPr>
          <w:vertAlign w:val="superscript"/>
        </w:rPr>
        <w:instrText>ADDIN CSL_CITATION { "citationItems" : [ { "id" : "ITEM-1", "itemData" : { "author" : [ { "dropping-particle" : "", "family" : "Alliance for Biking and Walking", "given" : "", "non-dropping-particle" : "", "parse-names" : false, "suffix" : "" } ], "id" : "ITEM-1", "issued" : { "date-parts" : [ [ "2014" ] ] }, "publisher-place" : "Washington, D.C.", "title" : "Bicycling and Walking in the United States: 2014 Benchmarking Report", "type" : "report" }, "uris" : [ "http://www.mendeley.com/documents/?uuid=5195d174-c8ad-4c81-885b-932ee20d9a96" ] }, { "id" : "ITEM-2", "itemData" : { "author" : [ { "dropping-particle" : "", "family" : "National Complete Streets Coalition", "given" : "", "non-dropping-particle" : "", "parse-names" : false, "suffix" : "" }, { "dropping-particle" : "", "family" : "Smart Growth America", "given" : "", "non-dropping-particle" : "", "parse-names" : false, "suffix" : "" } ], "id" : "ITEM-2", "issued" : { "date-parts" : [ [ "2004" ] ] }, "publisher-place" : "Washington, D.C.", "title" : "Complete Streets Promote Good Health", "type" : "report" }, "uris" : [ "http://www.mendeley.com/documents/?uuid=8b203f92-787b-4478-a629-f933e6eb2cf2" ] } ], "mendeley" : { "formattedCitation" : "&lt;sup&gt;39,40&lt;/sup&gt;", "plainTextFormattedCitation" : "39,40", "previouslyFormattedCitation" : "&lt;sup&gt;39,40&lt;/sup&gt;" }, "properties" : { "noteIndex" : 0 }, "schema" : "https://github.com/citation-style-language/schema/raw/master/csl-citation.json" }</w:instrText>
      </w:r>
      <w:r w:rsidRPr="00AE0F85">
        <w:rPr>
          <w:rStyle w:val="EndnoteReference"/>
          <w:rFonts w:cs="Times-Roman"/>
          <w:color w:val="000000"/>
          <w:position w:val="0"/>
          <w:sz w:val="24"/>
        </w:rPr>
        <w:fldChar w:fldCharType="separate"/>
      </w:r>
      <w:r w:rsidRPr="00AE0F85">
        <w:rPr>
          <w:vertAlign w:val="superscript"/>
        </w:rPr>
        <w:t>39,40</w:t>
      </w:r>
      <w:r w:rsidRPr="00AE0F85">
        <w:rPr>
          <w:rStyle w:val="EndnoteReference"/>
          <w:rFonts w:cs="Times-Roman"/>
          <w:color w:val="000000"/>
          <w:position w:val="0"/>
          <w:sz w:val="24"/>
        </w:rPr>
        <w:fldChar w:fldCharType="end"/>
      </w:r>
      <w:r w:rsidRPr="00AE0F85">
        <w:t xml:space="preserve"> thereby helping to reduce the risk of obesity and its associated health problems, which include diabetes, heart disease, high blood pressure, high cholesterol, as well as certain cancers, stroke, asthma, and depression</w:t>
      </w:r>
      <w:r w:rsidRPr="00AE0F85">
        <w:rPr>
          <w:vertAlign w:val="superscript"/>
        </w:rPr>
        <w:fldChar w:fldCharType="begin" w:fldLock="1"/>
      </w:r>
      <w:r w:rsidRPr="00AE0F85">
        <w:rPr>
          <w:vertAlign w:val="superscript"/>
        </w:rPr>
        <w:instrText>ADDIN CSL_CITATION { "citationItems" : [ { "id" : "ITEM-1", "itemData" : { "URL" : "www.cdc.gov/physicalactivity/everyone/health/index.html?s_cid=cs_284", "accessed" : { "date-parts" : [ [ "2015", "6", "12" ] ] }, "id" : "ITEM-1", "issued" : { "date-parts" : [ [ "0" ] ] }, "title" : "Physical Activity and Health. Centers for Disease Control and Prevention website.", "type" : "webpage" }, "uris" : [ "http://www.mendeley.com/documents/?uuid=9f3a1f26-5cdd-4e65-8bf5-a6a1326edeed" ] }, { "id" : "ITEM-2", "itemData" : { "author" : [ { "dropping-particle" : "", "family" : "Benjamin", "given" : "Regina M", "non-dropping-particle" : "", "parse-names" : false, "suffix" : "" } ], "container-title" : "Public Health Rep", "id" : "ITEM-2", "issue" : "5", "issued" : { "date-parts" : [ [ "2013" ] ] }, "page" : "350\u2013351", "title" : "Surgeon general's perspectives: the importance of 60 minutes or more of daily physical activity", "type" : "article-journal", "volume" : "128" }, "uris" : [ "http://www.mendeley.com/documents/?uuid=a6efaf2a-9862-4da4-9f2f-08e720243051" ] }, { "id" : "ITEM-3", "itemData" : { "author" : [ { "dropping-particle" : "", "family" : "ChangeLab Solutions", "given" : "", "non-dropping-particle" : "", "parse-names" : false, "suffix" : "" } ], "id" : "ITEM-3", "issued" : { "date-parts" : [ [ "2013" ] ] }, "publisher-place" : "Oakland, CA", "title" : "Getting the Wheels Rolling: A Guide to Using Policy to Create Bicycle Friendly Communities", "type" : "report" }, "uris" : [ "http://www.mendeley.com/documents/?uuid=dd8be3b5-7ec7-4f28-b07c-54a108d273aa" ] }, { "id" : "ITEM-4", "itemData" : { "DOI" : "10.1016/S0140-6736(12)61031-9.", "author" : [ { "dropping-particle" : "", "family" : "Lee", "given" : "I-Min", "non-dropping-particle" : "", "parse-names" : false, "suffix" : "" }, { "dropping-particle" : "", "family" : "Shiroma", "given" : "Eric J", "non-dropping-particle" : "", "parse-names" : false, "suffix" : "" }, { "dropping-particle" : "", "family" : "Lobelo", "given" : "Felipe", "non-dropping-particle" : "", "parse-names" : false, "suffix" : "" }, { "dropping-particle" : "", "family" : "Puska", "given" : "Pekka", "non-dropping-particle" : "", "parse-names" : false, "suffix" : "" }, { "dropping-particle" : "", "family" : "Blair", "given" : "Steven N", "non-dropping-particle" : "", "parse-names" : false, "suffix" : "" }, { "dropping-particle" : "", "family" : "Katzmarzyk", "given" : "Peter T", "non-dropping-particle" : "", "parse-names" : false, "suffix" : "" } ], "container-title" : "Lancet", "id" : "ITEM-4", "issue" : "9838", "issued" : { "date-parts" : [ [ "2012" ] ] }, "page" : "219-229", "title" : "Impact of physical inactivity on the world's major non-communicable diseases", "type" : "article-journal", "volume" : "380" }, "uris" : [ "http://www.mendeley.com/documents/?uuid=23d21575-2065-454d-96f6-45d6300b690d" ] }, { "id" : "ITEM-5", "itemData" : { "author" : [ { "dropping-particle" : "", "family" : "Nemours Health &amp; Prevention Services", "given" : "", "non-dropping-particle" : "", "parse-names" : false, "suffix" : "" } ], "id" : "ITEM-5", "issued" : { "date-parts" : [ [ "2009" ] ] }, "publisher-place" : "Newark, DE", "title" : "Counties and Municipalities in Delaware Can Develop Complete Streets to Combat Childhood Obesity", "type" : "report" }, "uris" : [ "http://www.mendeley.com/documents/?uuid=86f6ba0c-8a9c-45eb-bd3e-b9ebd000ef9e" ] } ], "mendeley" : { "formattedCitation" : "&lt;sup&gt;41\u201345&lt;/sup&gt;", "plainTextFormattedCitation" : "41\u201345", "previouslyFormattedCitation" : "&lt;sup&gt;41\u201345&lt;/sup&gt;" }, "properties" : { "noteIndex" : 0 }, "schema" : "https://github.com/citation-style-language/schema/raw/master/csl-citation.json" }</w:instrText>
      </w:r>
      <w:r w:rsidRPr="00AE0F85">
        <w:rPr>
          <w:vertAlign w:val="superscript"/>
        </w:rPr>
        <w:fldChar w:fldCharType="separate"/>
      </w:r>
      <w:r w:rsidRPr="00AE0F85">
        <w:rPr>
          <w:vertAlign w:val="superscript"/>
        </w:rPr>
        <w:t>41–45</w:t>
      </w:r>
      <w:r w:rsidRPr="00AE0F85">
        <w:rPr>
          <w:vertAlign w:val="superscript"/>
        </w:rPr>
        <w:fldChar w:fldCharType="end"/>
      </w:r>
      <w:r w:rsidRPr="00AE0F85">
        <w:t xml:space="preserve">; </w:t>
      </w:r>
    </w:p>
    <w:p w14:paraId="5BFB3CB2" w14:textId="77777777" w:rsidR="00D62DA9" w:rsidRPr="00AE0F85" w:rsidRDefault="00D62DA9" w:rsidP="00AE0F85">
      <w:pPr>
        <w:pStyle w:val="BasicParagraph"/>
      </w:pPr>
    </w:p>
    <w:p w14:paraId="50546E3A" w14:textId="77777777" w:rsidR="00D62DA9" w:rsidRPr="00AE0F85" w:rsidRDefault="00D62DA9" w:rsidP="00AE0F85">
      <w:pPr>
        <w:pStyle w:val="BasicParagraph"/>
      </w:pPr>
      <w:r w:rsidRPr="00AE0F85">
        <w:rPr>
          <w:b/>
        </w:rPr>
        <w:t>WHEREAS,</w:t>
      </w:r>
      <w:r w:rsidRPr="00AE0F85">
        <w:t xml:space="preserve"> [</w:t>
      </w:r>
      <w:r w:rsidRPr="00AE0F85">
        <w:rPr>
          <w:i/>
        </w:rPr>
        <w:t>add state data on obesity, chronic disease, etc., if desired</w:t>
      </w:r>
      <w:r w:rsidRPr="00AE0F85">
        <w:t>]; and</w:t>
      </w:r>
    </w:p>
    <w:p w14:paraId="521580AF" w14:textId="77777777" w:rsidR="00D62DA9" w:rsidRPr="00AE0F85" w:rsidRDefault="00D62DA9" w:rsidP="00AE0F85">
      <w:pPr>
        <w:pStyle w:val="BasicParagraph"/>
      </w:pPr>
    </w:p>
    <w:p w14:paraId="1DF69CB5" w14:textId="77777777" w:rsidR="00D62DA9" w:rsidRPr="00AE0F85" w:rsidRDefault="00D62DA9" w:rsidP="00AE0F85">
      <w:pPr>
        <w:pStyle w:val="BasicParagraph"/>
      </w:pPr>
      <w:r w:rsidRPr="00AE0F85">
        <w:rPr>
          <w:b/>
        </w:rPr>
        <w:t>WHEREAS,</w:t>
      </w:r>
      <w:r w:rsidRPr="00AE0F85">
        <w:t xml:space="preserve"> in light of the foregoing benefits and considerations, [</w:t>
      </w:r>
      <w:r w:rsidRPr="00AE0F85">
        <w:rPr>
          <w:i/>
        </w:rPr>
        <w:t>insert name of state</w:t>
      </w:r>
      <w:r w:rsidRPr="00AE0F85">
        <w:t xml:space="preserve">] wishes to demonstrate its commitment to Complete Streets and desires that its streets form a comprehensive, connected, and integrated transportation network promoting safe, equitable, and convenient travel for all people while preserving flexibility, recognizing community context, and using the latest and best design guidelines and standards. </w:t>
      </w:r>
    </w:p>
    <w:p w14:paraId="18E68B25" w14:textId="77777777" w:rsidR="00D62DA9" w:rsidRPr="003E3863" w:rsidRDefault="00D62DA9" w:rsidP="00D62DA9">
      <w:pPr>
        <w:rPr>
          <w:rFonts w:cs="ArialMT"/>
          <w:b/>
          <w:lang w:bidi="en-US"/>
        </w:rPr>
      </w:pPr>
      <w:r w:rsidRPr="003E3863">
        <w:rPr>
          <w:rFonts w:cs="ArialMT"/>
          <w:b/>
          <w:lang w:bidi="en-US"/>
        </w:rPr>
        <w:br w:type="page"/>
      </w:r>
    </w:p>
    <w:p w14:paraId="207DC5D1" w14:textId="41FD6B2C" w:rsidR="00D62DA9" w:rsidRPr="00041783" w:rsidRDefault="00D62DA9" w:rsidP="00041783">
      <w:pPr>
        <w:pStyle w:val="BasicParagraph"/>
        <w:spacing w:after="120"/>
      </w:pPr>
      <w:r w:rsidRPr="00767DBC">
        <w:rPr>
          <w:b/>
        </w:rPr>
        <w:lastRenderedPageBreak/>
        <w:t>SECTION TWO.</w:t>
      </w:r>
      <w:r w:rsidRPr="00767DBC">
        <w:t xml:space="preserve"> [</w:t>
      </w:r>
      <w:r w:rsidRPr="00767DBC">
        <w:rPr>
          <w:i/>
        </w:rPr>
        <w:t>insert name and number of state code</w:t>
      </w:r>
      <w:r w:rsidRPr="00767DBC">
        <w:t>] is hereby amended by adding a new chapter to read as follows:</w:t>
      </w:r>
    </w:p>
    <w:p w14:paraId="5C78AE89" w14:textId="43B8E4F0" w:rsidR="00D62DA9" w:rsidRPr="001B689A" w:rsidRDefault="00D62DA9" w:rsidP="001B689A">
      <w:pPr>
        <w:pStyle w:val="Heading2"/>
        <w:spacing w:after="240"/>
      </w:pPr>
      <w:r w:rsidRPr="001B689A">
        <w:t>CHAPTER [__]</w:t>
      </w:r>
    </w:p>
    <w:p w14:paraId="713FBD90" w14:textId="05BF0B76" w:rsidR="00D62DA9" w:rsidRPr="001B689A" w:rsidRDefault="00D62DA9" w:rsidP="00041783">
      <w:pPr>
        <w:pStyle w:val="Heading2"/>
        <w:spacing w:after="0"/>
      </w:pPr>
      <w:bookmarkStart w:id="4" w:name="_Hlk529096429"/>
      <w:r w:rsidRPr="001B689A">
        <w:t>COMPLETE STREETS REQUIREMENTS FOR</w:t>
      </w:r>
      <w:r w:rsidR="001B689A">
        <w:t xml:space="preserve"> </w:t>
      </w:r>
      <w:r w:rsidRPr="001B689A">
        <w:t>TRANSPORTATION PROJECTS</w:t>
      </w:r>
      <w:bookmarkEnd w:id="4"/>
    </w:p>
    <w:p w14:paraId="35583905" w14:textId="77777777" w:rsidR="00D62DA9" w:rsidRPr="003E3863" w:rsidRDefault="00D62DA9" w:rsidP="00D62DA9">
      <w:pPr>
        <w:autoSpaceDE w:val="0"/>
        <w:autoSpaceDN w:val="0"/>
        <w:adjustRightInd w:val="0"/>
        <w:spacing w:line="240" w:lineRule="auto"/>
        <w:rPr>
          <w:rFonts w:cs="ArialMT"/>
          <w:b/>
          <w:lang w:bidi="en-US"/>
        </w:rPr>
      </w:pPr>
    </w:p>
    <w:p w14:paraId="7E855BF1" w14:textId="6AD09684" w:rsidR="00D62DA9" w:rsidRPr="00041783" w:rsidRDefault="00D62DA9" w:rsidP="00041783">
      <w:pPr>
        <w:pStyle w:val="Heading3"/>
      </w:pPr>
      <w:bookmarkStart w:id="5" w:name="_Hlk529096440"/>
      <w:r w:rsidRPr="00041783">
        <w:t>§__-1. Title of Chapter.</w:t>
      </w:r>
      <w:bookmarkEnd w:id="5"/>
    </w:p>
    <w:p w14:paraId="76387999" w14:textId="455F1694" w:rsidR="00D62DA9" w:rsidRPr="00767DBC" w:rsidRDefault="00D62DA9" w:rsidP="00767DBC">
      <w:pPr>
        <w:pStyle w:val="BasicParagraph"/>
      </w:pPr>
      <w:r w:rsidRPr="00767DBC">
        <w:t>This chapter may be cited as the Complete Streets Act.</w:t>
      </w:r>
    </w:p>
    <w:p w14:paraId="6F9DE10F" w14:textId="77777777" w:rsidR="00D62DA9" w:rsidRPr="00767DBC" w:rsidRDefault="00D62DA9" w:rsidP="00767DBC">
      <w:pPr>
        <w:pStyle w:val="BasicParagraph"/>
      </w:pPr>
    </w:p>
    <w:p w14:paraId="41DD7E48" w14:textId="096D68EE" w:rsidR="00D62DA9" w:rsidRPr="00041783" w:rsidRDefault="00D62DA9" w:rsidP="00041783">
      <w:pPr>
        <w:pStyle w:val="Heading3"/>
      </w:pPr>
      <w:bookmarkStart w:id="6" w:name="_Hlk529096448"/>
      <w:r w:rsidRPr="00041783">
        <w:t>§__-2. Legislative Intent.</w:t>
      </w:r>
      <w:bookmarkEnd w:id="6"/>
    </w:p>
    <w:p w14:paraId="54CCD271" w14:textId="4B987F12" w:rsidR="00D62DA9" w:rsidRDefault="00D62DA9" w:rsidP="00041783">
      <w:pPr>
        <w:pStyle w:val="BasicParagraph"/>
      </w:pPr>
      <w:r w:rsidRPr="00767DBC">
        <w:t>It is the purpose of this Act to provide streets and roadways that are safe, comfortable, and convenient for people of all ages and abilities, whether they are traveling by motor vehicle, public transit, bicycle, mobility aid, or foot. This Complete Streets principle shall be integral to the transportation policy of [</w:t>
      </w:r>
      <w:r w:rsidRPr="00405C8C">
        <w:rPr>
          <w:i/>
        </w:rPr>
        <w:t>insert name of state</w:t>
      </w:r>
      <w:r w:rsidRPr="00767DBC">
        <w:t>].</w:t>
      </w:r>
    </w:p>
    <w:p w14:paraId="344FBB84" w14:textId="77777777" w:rsidR="00041783" w:rsidRPr="00767DBC" w:rsidRDefault="00041783" w:rsidP="00041783">
      <w:pPr>
        <w:pStyle w:val="BasicParagraph"/>
      </w:pPr>
    </w:p>
    <w:p w14:paraId="5A5D8891" w14:textId="3C38BABA" w:rsidR="00D62DA9" w:rsidRPr="00041783" w:rsidRDefault="00D62DA9" w:rsidP="00041783">
      <w:pPr>
        <w:pStyle w:val="Heading3"/>
      </w:pPr>
      <w:bookmarkStart w:id="7" w:name="_Hlk529096463"/>
      <w:r w:rsidRPr="00041783">
        <w:t>§__-3. Definitions.</w:t>
      </w:r>
      <w:bookmarkEnd w:id="7"/>
    </w:p>
    <w:p w14:paraId="514D17A3" w14:textId="77777777" w:rsidR="00D62DA9" w:rsidRPr="00767DBC" w:rsidRDefault="00D62DA9" w:rsidP="00767DBC">
      <w:pPr>
        <w:pStyle w:val="BasicParagraph"/>
      </w:pPr>
      <w:r w:rsidRPr="00767DBC">
        <w:t>For purposes of this chapter:</w:t>
      </w:r>
    </w:p>
    <w:p w14:paraId="1590B6D0" w14:textId="77777777" w:rsidR="00D62DA9" w:rsidRPr="003E3863" w:rsidRDefault="00D62DA9" w:rsidP="00D62DA9">
      <w:pPr>
        <w:autoSpaceDE w:val="0"/>
        <w:autoSpaceDN w:val="0"/>
        <w:adjustRightInd w:val="0"/>
        <w:spacing w:line="240" w:lineRule="auto"/>
        <w:rPr>
          <w:rFonts w:cs="ArialMT"/>
        </w:rPr>
      </w:pPr>
    </w:p>
    <w:p w14:paraId="6BC200EF" w14:textId="55C0C137" w:rsidR="00D62DA9" w:rsidRPr="00E67039" w:rsidRDefault="00D62DA9" w:rsidP="0095202F">
      <w:pPr>
        <w:pStyle w:val="bullets-abc"/>
        <w:ind w:left="720"/>
      </w:pPr>
      <w:r w:rsidRPr="00E67039">
        <w:t>“Complete Streets” means Context Sensitive streets or roadways that allow safe, comfortable, and convenient travel by all of the following categories of users: pedestrians, bicyclists, motorists, movers of commercial goods, users and operators of public transportation, people with disabilities, seniors, children, youth, and families [</w:t>
      </w:r>
      <w:r w:rsidRPr="00E67039">
        <w:rPr>
          <w:i/>
        </w:rPr>
        <w:t xml:space="preserve">insert other significant local users if desired, </w:t>
      </w:r>
      <w:proofErr w:type="spellStart"/>
      <w:r w:rsidRPr="00E67039">
        <w:rPr>
          <w:i/>
        </w:rPr>
        <w:t>eg</w:t>
      </w:r>
      <w:proofErr w:type="spellEnd"/>
      <w:r w:rsidRPr="00E67039">
        <w:rPr>
          <w:i/>
        </w:rPr>
        <w:t>, drivers of agricultural vehicles, emergency vehicles, or freight</w:t>
      </w:r>
      <w:r w:rsidRPr="00E67039">
        <w:t xml:space="preserve">]. </w:t>
      </w:r>
    </w:p>
    <w:p w14:paraId="0CAAB395" w14:textId="77777777" w:rsidR="00D62DA9" w:rsidRPr="003E3863" w:rsidRDefault="00D62DA9" w:rsidP="00D62DA9">
      <w:pPr>
        <w:autoSpaceDE w:val="0"/>
        <w:autoSpaceDN w:val="0"/>
        <w:adjustRightInd w:val="0"/>
        <w:spacing w:line="240" w:lineRule="auto"/>
        <w:rPr>
          <w:rFonts w:cs="Arial-BoldMT"/>
          <w:bCs/>
          <w:lang w:bidi="en-US"/>
        </w:rPr>
      </w:pPr>
    </w:p>
    <w:p w14:paraId="316B0715" w14:textId="5EC1515E" w:rsidR="00D62DA9" w:rsidRPr="000831C6" w:rsidRDefault="000831C6" w:rsidP="00AE0F85">
      <w:pPr>
        <w:pStyle w:val="commentsbox"/>
        <w:spacing w:after="120"/>
        <w:ind w:left="720"/>
      </w:pPr>
      <w:r w:rsidRPr="000831C6">
        <w:rPr>
          <w:b/>
        </w:rPr>
        <w:t>COMMENT:</w:t>
      </w:r>
      <w:r w:rsidRPr="000831C6">
        <w:t xml:space="preserve"> </w:t>
      </w:r>
      <w:r w:rsidR="00D62DA9" w:rsidRPr="000831C6">
        <w:t xml:space="preserve">There is no set prescription for creating a Complete Street—rather, a community must evaluate each street individually and consider street changes based on local needs and contexts. A Complete Street may look very different in a rural community compared with one in an urban community, for instance. </w:t>
      </w:r>
    </w:p>
    <w:p w14:paraId="71FB7CD4" w14:textId="3FD61AF1" w:rsidR="00D62DA9" w:rsidRPr="000831C6" w:rsidRDefault="00D62DA9" w:rsidP="00AE0F85">
      <w:pPr>
        <w:pStyle w:val="commentsbox"/>
        <w:spacing w:after="120"/>
        <w:ind w:left="720"/>
      </w:pPr>
      <w:r w:rsidRPr="000831C6">
        <w:t xml:space="preserve">A wide range of design features are available to create Complete Streets. Each community selects, on a case-by-case basis, particular features that are appropriate and feasible for any given street. Possible design features are sidewalks and crosswalks; bicycle lanes (or wide paved shoulders); street trees and landscaping; countdown traffic signals, bicycle signals, pedestrian islands, roundabouts, and other traffic-calming devices; transit-only lanes; and bicycle parking facilities. For a visual overview of different examples of Complete Streets, see Introduction to Complete Streets: Presentation (slides 29 to 43), available at </w:t>
      </w:r>
      <w:hyperlink r:id="rId8" w:history="1">
        <w:r w:rsidRPr="00AE0F85">
          <w:rPr>
            <w:rStyle w:val="Hyperlink"/>
            <w:i/>
            <w:color w:val="00598D"/>
            <w:u w:val="none"/>
          </w:rPr>
          <w:t>https://smartgrowthamerica.org/resources/introduction-to-complete-streets/?download=yes&amp;key=42718492</w:t>
        </w:r>
      </w:hyperlink>
      <w:r w:rsidRPr="000831C6">
        <w:rPr>
          <w:rStyle w:val="Hyperlink"/>
          <w:color w:val="auto"/>
          <w:u w:val="none"/>
        </w:rPr>
        <w:t>.</w:t>
      </w:r>
    </w:p>
    <w:p w14:paraId="57F0C6CD" w14:textId="77777777" w:rsidR="00D62DA9" w:rsidRPr="003E3863" w:rsidRDefault="00D62DA9" w:rsidP="00D62DA9">
      <w:pPr>
        <w:autoSpaceDE w:val="0"/>
        <w:autoSpaceDN w:val="0"/>
        <w:adjustRightInd w:val="0"/>
        <w:spacing w:line="240" w:lineRule="auto"/>
        <w:rPr>
          <w:rFonts w:cs="Arial-BoldMT"/>
          <w:bCs/>
          <w:lang w:bidi="en-US"/>
        </w:rPr>
      </w:pPr>
    </w:p>
    <w:p w14:paraId="4B0794FE" w14:textId="01780207" w:rsidR="00D62DA9" w:rsidRPr="00AE0F85" w:rsidRDefault="00D62DA9" w:rsidP="0095202F">
      <w:pPr>
        <w:pStyle w:val="bullets-abc"/>
        <w:ind w:left="720"/>
      </w:pPr>
      <w:r w:rsidRPr="00AE0F85">
        <w:t>“Community Engagement Plan” means a plan of action that outlines the process or steps that the [</w:t>
      </w:r>
      <w:r w:rsidRPr="00AE0F85">
        <w:rPr>
          <w:i/>
        </w:rPr>
        <w:t>governing state agency</w:t>
      </w:r>
      <w:r w:rsidRPr="00AE0F85">
        <w:t>] will use to guide its interactions—such as outreach and communications—with community residents, community groups, and other stakeholders regarding the implementation of this Act. Community engagement can encompass a continuum of activities, such as informing community residents of decisions regarding Complete Streets, gathering input from residents regarding street design considerations, involving the community in public decision</w:t>
      </w:r>
      <w:bookmarkStart w:id="8" w:name="_GoBack"/>
      <w:bookmarkEnd w:id="8"/>
      <w:r w:rsidRPr="00AE0F85">
        <w:t>making processes, or co-designing street improvements.</w:t>
      </w:r>
      <w:r w:rsidR="00AB438F">
        <w:t xml:space="preserve"> </w:t>
      </w:r>
    </w:p>
    <w:p w14:paraId="7CEBAB09" w14:textId="77777777" w:rsidR="00D62DA9" w:rsidRPr="00AE0F85" w:rsidRDefault="00D62DA9" w:rsidP="0095202F">
      <w:pPr>
        <w:pStyle w:val="bullets-abc"/>
        <w:numPr>
          <w:ilvl w:val="0"/>
          <w:numId w:val="0"/>
        </w:numPr>
        <w:ind w:left="720"/>
      </w:pPr>
    </w:p>
    <w:p w14:paraId="780D8582" w14:textId="48F173BB" w:rsidR="00D62DA9" w:rsidRPr="00AE0F85" w:rsidRDefault="00D62DA9" w:rsidP="0095202F">
      <w:pPr>
        <w:pStyle w:val="bullets-abc"/>
        <w:ind w:left="720"/>
      </w:pPr>
      <w:r w:rsidRPr="00AE0F85">
        <w:t>“Context Sensitive” means that streets or roadways are designed with consideration of the character and environment of the surrounding community, as well as the varying needs of urban, suburban, and rural settings.</w:t>
      </w:r>
    </w:p>
    <w:p w14:paraId="39C7B534" w14:textId="77777777" w:rsidR="00D62DA9" w:rsidRPr="003E3863" w:rsidRDefault="00D62DA9" w:rsidP="0095202F">
      <w:pPr>
        <w:autoSpaceDE w:val="0"/>
        <w:autoSpaceDN w:val="0"/>
        <w:adjustRightInd w:val="0"/>
        <w:spacing w:line="240" w:lineRule="auto"/>
        <w:ind w:left="720"/>
        <w:rPr>
          <w:rFonts w:cs="Arial-BoldMT"/>
          <w:bCs/>
          <w:lang w:bidi="en-US"/>
        </w:rPr>
      </w:pPr>
    </w:p>
    <w:p w14:paraId="3D7F51CD" w14:textId="134A6CB2" w:rsidR="00D62DA9" w:rsidRPr="00AE0F85" w:rsidRDefault="00D62DA9" w:rsidP="0095202F">
      <w:pPr>
        <w:pStyle w:val="bullets-abc"/>
        <w:ind w:left="720"/>
      </w:pPr>
      <w:r w:rsidRPr="00AE0F85">
        <w:t>“High Need Area” means (</w:t>
      </w:r>
      <w:proofErr w:type="spellStart"/>
      <w:r w:rsidRPr="00AE0F85">
        <w:t>i</w:t>
      </w:r>
      <w:proofErr w:type="spellEnd"/>
      <w:r w:rsidRPr="00AE0F85">
        <w:t>) any census tract in which the median household income is less than [</w:t>
      </w:r>
      <w:r w:rsidRPr="00AE0F85">
        <w:rPr>
          <w:i/>
        </w:rPr>
        <w:t>80%</w:t>
      </w:r>
      <w:r w:rsidRPr="00AE0F85">
        <w:t>] of the statewide average median based on the most current census tract–level data from the US Census Bureau American Community Survey, (ii) any area within [</w:t>
      </w:r>
      <w:r w:rsidRPr="00AE0F85">
        <w:rPr>
          <w:i/>
        </w:rPr>
        <w:t>2 miles</w:t>
      </w:r>
      <w:r w:rsidRPr="00AE0F85">
        <w:t>] of a school in which at least [</w:t>
      </w:r>
      <w:r w:rsidRPr="00AE0F85">
        <w:rPr>
          <w:i/>
        </w:rPr>
        <w:t>50%</w:t>
      </w:r>
      <w:r w:rsidRPr="00AE0F85">
        <w:t>] of the children are eligible to receive free or reduced-price meals under the National School Lunch Program, or (iii) [</w:t>
      </w:r>
      <w:r w:rsidRPr="00AE0F85">
        <w:rPr>
          <w:i/>
        </w:rPr>
        <w:t>any area</w:t>
      </w:r>
      <w:r w:rsidRPr="00AE0F85">
        <w:t>] that has a [</w:t>
      </w:r>
      <w:r w:rsidRPr="00AE0F85">
        <w:rPr>
          <w:i/>
        </w:rPr>
        <w:t>high number</w:t>
      </w:r>
      <w:r w:rsidRPr="00AE0F85">
        <w:t>] of pedestrian and/or bicycle collisions.</w:t>
      </w:r>
    </w:p>
    <w:p w14:paraId="5871EB01" w14:textId="77777777" w:rsidR="00D62DA9" w:rsidRDefault="00D62DA9" w:rsidP="00AE0F85">
      <w:pPr>
        <w:autoSpaceDE w:val="0"/>
        <w:autoSpaceDN w:val="0"/>
        <w:adjustRightInd w:val="0"/>
        <w:spacing w:line="240" w:lineRule="auto"/>
        <w:ind w:left="720"/>
        <w:rPr>
          <w:rFonts w:cs="Arial-BoldMT"/>
          <w:bCs/>
        </w:rPr>
      </w:pPr>
      <w:r w:rsidRPr="003E3863">
        <w:rPr>
          <w:rFonts w:cs="Arial-BoldMT"/>
          <w:bCs/>
        </w:rPr>
        <w:t xml:space="preserve"> </w:t>
      </w:r>
    </w:p>
    <w:p w14:paraId="40F9FA51" w14:textId="37799A9F" w:rsidR="00D62DA9" w:rsidRPr="000831C6" w:rsidRDefault="00D62DA9" w:rsidP="00AE0F85">
      <w:pPr>
        <w:pStyle w:val="commentsbox"/>
        <w:spacing w:after="120"/>
        <w:ind w:left="720"/>
      </w:pPr>
      <w:r w:rsidRPr="000831C6">
        <w:rPr>
          <w:b/>
        </w:rPr>
        <w:t>COMMENT:</w:t>
      </w:r>
      <w:r w:rsidRPr="000831C6">
        <w:t xml:space="preserve"> In some states, the suggested “2-mile radius” around schools serving low-income children may need to be adjusted to more effectively cover the </w:t>
      </w:r>
      <w:proofErr w:type="spellStart"/>
      <w:r w:rsidRPr="000831C6">
        <w:t>areas</w:t>
      </w:r>
      <w:proofErr w:type="spellEnd"/>
      <w:r w:rsidRPr="000831C6">
        <w:t xml:space="preserve"> most in need. Alternatively, states may want to vary the radius for rural and urban regions. </w:t>
      </w:r>
    </w:p>
    <w:p w14:paraId="5104D136" w14:textId="1D51D016" w:rsidR="00D62DA9" w:rsidRPr="00AE0F85" w:rsidRDefault="00D62DA9" w:rsidP="00AE0F85">
      <w:pPr>
        <w:pStyle w:val="commentsbox"/>
        <w:spacing w:after="120"/>
        <w:ind w:left="720"/>
        <w:rPr>
          <w:spacing w:val="-2"/>
        </w:rPr>
      </w:pPr>
      <w:r w:rsidRPr="00AE0F85">
        <w:rPr>
          <w:spacing w:val="-2"/>
        </w:rPr>
        <w:t>States should replace the bracketed phrases “any area” and “high number” in subsection (</w:t>
      </w:r>
      <w:r w:rsidR="004619FD">
        <w:rPr>
          <w:spacing w:val="-2"/>
        </w:rPr>
        <w:t>d</w:t>
      </w:r>
      <w:r w:rsidRPr="00AE0F85">
        <w:rPr>
          <w:spacing w:val="-2"/>
        </w:rPr>
        <w:t>) with specific, context-sensitive requirements. For example, a state should consider whether it wants to define this area using specific streets, intersections, census tracts, or local jurisdictions in which the number of pedestrian and/or bicycle collisions is more than double the state average. States should also consider whether to choose a higher or lower number of collisions, and whether that number should be compared with a regional or local average rather than a state average.</w:t>
      </w:r>
    </w:p>
    <w:p w14:paraId="40DAF203" w14:textId="77777777" w:rsidR="00D62DA9" w:rsidRPr="0054433F" w:rsidRDefault="00D62DA9" w:rsidP="00D62DA9">
      <w:pPr>
        <w:autoSpaceDE w:val="0"/>
        <w:autoSpaceDN w:val="0"/>
        <w:adjustRightInd w:val="0"/>
        <w:spacing w:line="240" w:lineRule="auto"/>
        <w:ind w:left="2160"/>
        <w:rPr>
          <w:rFonts w:cs="Arial-BoldMT"/>
          <w:bCs/>
        </w:rPr>
      </w:pPr>
    </w:p>
    <w:p w14:paraId="2A833E6C" w14:textId="05A7FBE2" w:rsidR="00D62DA9" w:rsidRPr="00AE0F85" w:rsidRDefault="00D62DA9" w:rsidP="0095202F">
      <w:pPr>
        <w:pStyle w:val="bullets-abc"/>
        <w:ind w:left="720"/>
      </w:pPr>
      <w:r w:rsidRPr="00AE0F85">
        <w:t>“Transportation Project” means any development, project, program, or practice that affects the transportation network or occurs in the public right-of-way, including construction, reconstruction, retrofit, signalization operations, resurfacing, restriping, rehabilitation, maintenance (excluding routine maintenance that does not change the roadway geometry or operations, such as mowing, sweeping, and spot repair), operations, alteration, and repair of any public street or roadway within the state (including alleys, bridges, tunnels, frontage roads, and other elements of the transportation system).</w:t>
      </w:r>
    </w:p>
    <w:p w14:paraId="07FE8D34" w14:textId="77777777" w:rsidR="00D62DA9" w:rsidRPr="003E3863" w:rsidRDefault="00D62DA9" w:rsidP="00D62DA9">
      <w:pPr>
        <w:pStyle w:val="ListParagraph"/>
        <w:autoSpaceDE w:val="0"/>
        <w:autoSpaceDN w:val="0"/>
        <w:adjustRightInd w:val="0"/>
        <w:spacing w:after="0" w:line="240" w:lineRule="auto"/>
        <w:rPr>
          <w:rFonts w:cs="Arial-BoldMT"/>
          <w:bCs/>
          <w:sz w:val="24"/>
          <w:szCs w:val="24"/>
        </w:rPr>
      </w:pPr>
    </w:p>
    <w:p w14:paraId="65A09286" w14:textId="0340B285" w:rsidR="00D62DA9" w:rsidRPr="00041783" w:rsidRDefault="00D62DA9" w:rsidP="00041783">
      <w:pPr>
        <w:pStyle w:val="BasicParagraph"/>
        <w:spacing w:after="120"/>
        <w:rPr>
          <w:b/>
        </w:rPr>
      </w:pPr>
      <w:bookmarkStart w:id="9" w:name="_Hlk529096481"/>
      <w:r w:rsidRPr="00041783">
        <w:rPr>
          <w:b/>
        </w:rPr>
        <w:t>§_-4. Complete Streets Requirement for State Transportation Projects.</w:t>
      </w:r>
      <w:bookmarkEnd w:id="9"/>
    </w:p>
    <w:p w14:paraId="5C2209E7" w14:textId="77777777" w:rsidR="00D62DA9" w:rsidRPr="00041783" w:rsidRDefault="00D62DA9" w:rsidP="00767DBC">
      <w:pPr>
        <w:pStyle w:val="BasicParagraph"/>
        <w:rPr>
          <w:spacing w:val="-4"/>
        </w:rPr>
      </w:pPr>
      <w:r w:rsidRPr="00041783">
        <w:rPr>
          <w:spacing w:val="-4"/>
        </w:rPr>
        <w:t>Every Transportation Project, and every phase of a Transportation Project (including planning, scoping, funding, design, approval, implementation, and maintenance), for all highways and roads controlled by the [</w:t>
      </w:r>
      <w:r w:rsidRPr="00041783">
        <w:rPr>
          <w:i/>
          <w:spacing w:val="-4"/>
        </w:rPr>
        <w:t>governing state agency</w:t>
      </w:r>
      <w:r w:rsidRPr="00041783">
        <w:rPr>
          <w:spacing w:val="-4"/>
        </w:rPr>
        <w:t>] shall provide for Complete Streets.</w:t>
      </w:r>
    </w:p>
    <w:p w14:paraId="20E2B9FD" w14:textId="77777777" w:rsidR="00D62DA9" w:rsidRPr="00041783" w:rsidRDefault="00D62DA9" w:rsidP="00041783">
      <w:pPr>
        <w:pStyle w:val="BasicParagraph"/>
        <w:rPr>
          <w:b/>
        </w:rPr>
      </w:pPr>
    </w:p>
    <w:p w14:paraId="3505D4EF" w14:textId="77777777" w:rsidR="00D62DA9" w:rsidRPr="00041783" w:rsidRDefault="00D62DA9" w:rsidP="00041783">
      <w:pPr>
        <w:pStyle w:val="BasicParagraph"/>
        <w:spacing w:after="120"/>
        <w:rPr>
          <w:b/>
        </w:rPr>
      </w:pPr>
      <w:bookmarkStart w:id="10" w:name="_Hlk529096499"/>
      <w:r w:rsidRPr="00041783">
        <w:rPr>
          <w:b/>
        </w:rPr>
        <w:t>§_-5. Exceptions to Complete Streets Requirement.</w:t>
      </w:r>
      <w:bookmarkEnd w:id="10"/>
    </w:p>
    <w:p w14:paraId="3BC6AD3D" w14:textId="77777777" w:rsidR="00D62DA9" w:rsidRPr="00FF3FFA" w:rsidRDefault="00D62DA9" w:rsidP="006D5042">
      <w:pPr>
        <w:pStyle w:val="bullets-abc"/>
        <w:numPr>
          <w:ilvl w:val="0"/>
          <w:numId w:val="15"/>
        </w:numPr>
        <w:spacing w:after="240"/>
        <w:ind w:left="720"/>
      </w:pPr>
      <w:r w:rsidRPr="00FF3FFA">
        <w:t>A specific category of user, as set forth in §_-3 (a), may be excluded from the requirements of [§_-4] of this Act only if one or more of the following exceptions apply:</w:t>
      </w:r>
    </w:p>
    <w:p w14:paraId="4FF0E3E3" w14:textId="77777777" w:rsidR="00D62DA9" w:rsidRPr="00FF3FFA" w:rsidRDefault="00D62DA9" w:rsidP="00E67039">
      <w:pPr>
        <w:pStyle w:val="bullets1"/>
      </w:pPr>
      <w:r w:rsidRPr="00FF3FFA">
        <w:t>Use of the street or roadway is prohibited by law for the category of user, in which case reasonable efforts shall be made to accommodate the excluded category of user on a parallel route;</w:t>
      </w:r>
    </w:p>
    <w:p w14:paraId="6763566D" w14:textId="01604F5F" w:rsidR="00D62DA9" w:rsidRPr="00FF3FFA" w:rsidRDefault="00FF3FFA" w:rsidP="00E67039">
      <w:pPr>
        <w:pStyle w:val="commentsbox"/>
        <w:spacing w:after="240"/>
        <w:ind w:left="1080"/>
      </w:pPr>
      <w:r w:rsidRPr="000831C6">
        <w:rPr>
          <w:b/>
        </w:rPr>
        <w:t>COMMENT:</w:t>
      </w:r>
      <w:r w:rsidRPr="000831C6">
        <w:t xml:space="preserve"> </w:t>
      </w:r>
      <w:r w:rsidR="00D62DA9" w:rsidRPr="00FF3FFA">
        <w:t>This exception is intended to cover situations such as prohibited pedestrian use of freeways and prohibited motor vehicle use on a pedestrian mall.</w:t>
      </w:r>
    </w:p>
    <w:p w14:paraId="68F78111" w14:textId="77777777" w:rsidR="00D62DA9" w:rsidRPr="00FF3FFA" w:rsidRDefault="00D62DA9" w:rsidP="00E67039">
      <w:pPr>
        <w:pStyle w:val="bullets1"/>
      </w:pPr>
      <w:r w:rsidRPr="00FF3FFA">
        <w:t>There is an absence of both a current need and a future need over the next 20 years to accommodate the category of user; or</w:t>
      </w:r>
    </w:p>
    <w:p w14:paraId="7A1F5179" w14:textId="1AC7D4D1" w:rsidR="00D62DA9" w:rsidRPr="00FF3FFA" w:rsidRDefault="00FF3FFA" w:rsidP="00E67039">
      <w:pPr>
        <w:pStyle w:val="commentsbox"/>
        <w:spacing w:after="240"/>
        <w:ind w:left="1080"/>
      </w:pPr>
      <w:r w:rsidRPr="000831C6">
        <w:rPr>
          <w:b/>
        </w:rPr>
        <w:t>COMMENT:</w:t>
      </w:r>
      <w:r w:rsidRPr="000831C6">
        <w:t xml:space="preserve"> </w:t>
      </w:r>
      <w:r w:rsidR="00D62DA9" w:rsidRPr="00FF3FFA">
        <w:t>A lack of future need can typically be demonstrated by available data on demographics, school locations and attendance, employment, and public transportation routes. It should not, however, be demonstrated based on extrapolations of current low mode use. The existence of an adjacent parallel route that satisfies the needs of a particular category of user can also demonstrate an absence of current and future need.</w:t>
      </w:r>
    </w:p>
    <w:p w14:paraId="1E85892B" w14:textId="77777777" w:rsidR="00D62DA9" w:rsidRPr="00FF3FFA" w:rsidRDefault="00D62DA9" w:rsidP="00E67039">
      <w:pPr>
        <w:pStyle w:val="bullets1"/>
      </w:pPr>
      <w:r w:rsidRPr="00FF3FFA">
        <w:t>The cost would be excessively disproportionate to the current need or future need over the next 20 years.</w:t>
      </w:r>
    </w:p>
    <w:p w14:paraId="1421BE66" w14:textId="13420613" w:rsidR="001C0C7A" w:rsidRPr="001C0C7A" w:rsidRDefault="000831C6" w:rsidP="00041783">
      <w:pPr>
        <w:pStyle w:val="commentsbox"/>
        <w:spacing w:after="240"/>
        <w:ind w:left="1080"/>
      </w:pPr>
      <w:r w:rsidRPr="000831C6">
        <w:rPr>
          <w:b/>
        </w:rPr>
        <w:t>COMMENT:</w:t>
      </w:r>
      <w:r w:rsidRPr="000831C6">
        <w:t xml:space="preserve"> </w:t>
      </w:r>
      <w:r w:rsidR="00D62DA9" w:rsidRPr="000831C6">
        <w:t>States may want to specify what qualifies as “excessively disproportionate” based on state-specific conditions.</w:t>
      </w:r>
    </w:p>
    <w:p w14:paraId="0DFC01B0" w14:textId="77777777" w:rsidR="00D62DA9" w:rsidRPr="003E3863" w:rsidRDefault="00D62DA9" w:rsidP="0095202F">
      <w:pPr>
        <w:pStyle w:val="bullets-abc"/>
        <w:ind w:left="720"/>
      </w:pPr>
      <w:r w:rsidRPr="003E3863">
        <w:t xml:space="preserve">An </w:t>
      </w:r>
      <w:r w:rsidRPr="00E67039">
        <w:t>exception</w:t>
      </w:r>
      <w:r>
        <w:t xml:space="preserve"> shall</w:t>
      </w:r>
      <w:r w:rsidRPr="003E3863">
        <w:t xml:space="preserve"> be granted only if</w:t>
      </w:r>
      <w:r>
        <w:t xml:space="preserve"> the following occur</w:t>
      </w:r>
      <w:r w:rsidRPr="003E3863">
        <w:t>:</w:t>
      </w:r>
    </w:p>
    <w:p w14:paraId="17D96913" w14:textId="77777777" w:rsidR="00D62DA9" w:rsidRPr="003E3863" w:rsidRDefault="00D62DA9" w:rsidP="00D62DA9">
      <w:pPr>
        <w:autoSpaceDE w:val="0"/>
        <w:autoSpaceDN w:val="0"/>
        <w:adjustRightInd w:val="0"/>
        <w:spacing w:line="240" w:lineRule="auto"/>
        <w:rPr>
          <w:rFonts w:cs="ArialMT"/>
        </w:rPr>
      </w:pPr>
    </w:p>
    <w:p w14:paraId="51AD88D1" w14:textId="66EFC158" w:rsidR="00D62DA9" w:rsidRDefault="00D62DA9" w:rsidP="006D5042">
      <w:pPr>
        <w:pStyle w:val="bullets1"/>
        <w:numPr>
          <w:ilvl w:val="0"/>
          <w:numId w:val="17"/>
        </w:numPr>
      </w:pPr>
      <w:r w:rsidRPr="00E67039">
        <w:t>a written request for an exception, with supporting documentation, is submitted and made publicly available online, with a minimum of [</w:t>
      </w:r>
      <w:r w:rsidRPr="00081235">
        <w:rPr>
          <w:i/>
        </w:rPr>
        <w:t>30</w:t>
      </w:r>
      <w:r w:rsidRPr="00E67039">
        <w:t>] days allowed for public input; and</w:t>
      </w:r>
    </w:p>
    <w:p w14:paraId="16D940E3" w14:textId="77777777" w:rsidR="00041783" w:rsidRPr="00E67039" w:rsidRDefault="00041783" w:rsidP="00041783">
      <w:pPr>
        <w:pStyle w:val="bullets1"/>
        <w:numPr>
          <w:ilvl w:val="0"/>
          <w:numId w:val="0"/>
        </w:numPr>
        <w:ind w:left="1080"/>
      </w:pPr>
    </w:p>
    <w:p w14:paraId="3DC14913" w14:textId="3102E686" w:rsidR="00D62DA9" w:rsidRPr="00E67039" w:rsidRDefault="00D62DA9" w:rsidP="00E67039">
      <w:pPr>
        <w:pStyle w:val="bullets1"/>
      </w:pPr>
      <w:r w:rsidRPr="00E67039">
        <w:lastRenderedPageBreak/>
        <w:t>the exception is approved in writing by the [</w:t>
      </w:r>
      <w:r w:rsidRPr="00E67039">
        <w:rPr>
          <w:i/>
        </w:rPr>
        <w:t>director</w:t>
      </w:r>
      <w:r w:rsidRPr="00E67039">
        <w:t>] of the [</w:t>
      </w:r>
      <w:r w:rsidRPr="00E67039">
        <w:rPr>
          <w:i/>
        </w:rPr>
        <w:t>insert division or department]</w:t>
      </w:r>
      <w:r w:rsidRPr="00E67039">
        <w:t xml:space="preserve"> within the [</w:t>
      </w:r>
      <w:r w:rsidRPr="00E67039">
        <w:rPr>
          <w:i/>
        </w:rPr>
        <w:t>governing state agency</w:t>
      </w:r>
      <w:r w:rsidRPr="00E67039">
        <w:t>] responsible for the planning and completion of the Transportation Project, and it is made publicly available online.</w:t>
      </w:r>
    </w:p>
    <w:p w14:paraId="6C859375" w14:textId="2FB0A241" w:rsidR="00D62DA9" w:rsidRPr="00041783" w:rsidRDefault="00D62DA9" w:rsidP="00041783">
      <w:pPr>
        <w:pStyle w:val="Heading3"/>
      </w:pPr>
      <w:bookmarkStart w:id="11" w:name="_Hlk529096520"/>
      <w:r w:rsidRPr="00041783">
        <w:t>§_-6. Complete Streets Procedures and Standards.</w:t>
      </w:r>
      <w:bookmarkEnd w:id="11"/>
    </w:p>
    <w:p w14:paraId="5B76E9A3" w14:textId="6997DF52" w:rsidR="00D62DA9" w:rsidRPr="00E67039" w:rsidRDefault="00D62DA9" w:rsidP="006D5042">
      <w:pPr>
        <w:pStyle w:val="bullets-abc"/>
        <w:numPr>
          <w:ilvl w:val="0"/>
          <w:numId w:val="18"/>
        </w:numPr>
        <w:ind w:left="720"/>
      </w:pPr>
      <w:r w:rsidRPr="00E67039">
        <w:t>The [</w:t>
      </w:r>
      <w:r w:rsidRPr="00E67039">
        <w:rPr>
          <w:i/>
        </w:rPr>
        <w:t>governing state agency</w:t>
      </w:r>
      <w:r w:rsidRPr="00E67039">
        <w:t>] shall, within [</w:t>
      </w:r>
      <w:r w:rsidRPr="00E67039">
        <w:rPr>
          <w:i/>
        </w:rPr>
        <w:t>1 year</w:t>
      </w:r>
      <w:r w:rsidRPr="00E67039">
        <w:t>] of the effective date of this Act, modify its internal protocols, procedures, documents, and training programs to conform to the requirements of this Act and ensure that the needs of all categories of users of the streets and roadways, set forth in §_-3(a), are included in all phases of all Transportation Projects.</w:t>
      </w:r>
      <w:r w:rsidR="00AB438F">
        <w:t xml:space="preserve"> </w:t>
      </w:r>
      <w:r w:rsidRPr="00E67039">
        <w:t>The [</w:t>
      </w:r>
      <w:r w:rsidRPr="00E67039">
        <w:rPr>
          <w:i/>
        </w:rPr>
        <w:t>governing state agency</w:t>
      </w:r>
      <w:r w:rsidRPr="00E67039">
        <w:t>] shall also develop guidelines identifying how Transportation Projects are prioritized for funding and/or inclusion in the [</w:t>
      </w:r>
      <w:r w:rsidRPr="00E67039">
        <w:rPr>
          <w:i/>
        </w:rPr>
        <w:t>state-level capital improvement plan</w:t>
      </w:r>
      <w:r w:rsidRPr="00E67039">
        <w:t xml:space="preserve">] to accommodate the needs of High Need Areas. </w:t>
      </w:r>
    </w:p>
    <w:p w14:paraId="7BEDEF0C" w14:textId="77777777" w:rsidR="00D62DA9" w:rsidRPr="00E67039" w:rsidRDefault="00D62DA9" w:rsidP="0095202F">
      <w:pPr>
        <w:pStyle w:val="bullets-abc"/>
        <w:numPr>
          <w:ilvl w:val="0"/>
          <w:numId w:val="0"/>
        </w:numPr>
        <w:ind w:left="720"/>
      </w:pPr>
    </w:p>
    <w:p w14:paraId="6A5BC5A4" w14:textId="4A021898" w:rsidR="00D62DA9" w:rsidRDefault="00D62DA9" w:rsidP="0095202F">
      <w:pPr>
        <w:pStyle w:val="bullets-abc"/>
        <w:ind w:left="720"/>
        <w:rPr>
          <w:spacing w:val="-4"/>
        </w:rPr>
      </w:pPr>
      <w:r w:rsidRPr="001B689A">
        <w:rPr>
          <w:spacing w:val="-4"/>
        </w:rPr>
        <w:t>The [</w:t>
      </w:r>
      <w:r w:rsidRPr="001B689A">
        <w:rPr>
          <w:i/>
          <w:spacing w:val="-4"/>
        </w:rPr>
        <w:t>governing state agency</w:t>
      </w:r>
      <w:r w:rsidRPr="001B689A">
        <w:rPr>
          <w:spacing w:val="-4"/>
        </w:rPr>
        <w:t>] shall coordinate with relevant state and regional government agencies, including without limitation, the [</w:t>
      </w:r>
      <w:r w:rsidRPr="001B689A">
        <w:rPr>
          <w:i/>
          <w:spacing w:val="-4"/>
        </w:rPr>
        <w:t>public health department, state highway patrol, metropolitan planning organization, etc</w:t>
      </w:r>
      <w:r w:rsidRPr="001B689A">
        <w:rPr>
          <w:spacing w:val="-4"/>
        </w:rPr>
        <w:t>.] to implement this Act.</w:t>
      </w:r>
      <w:r w:rsidR="00AB438F" w:rsidRPr="001B689A">
        <w:rPr>
          <w:spacing w:val="-4"/>
        </w:rPr>
        <w:t xml:space="preserve"> </w:t>
      </w:r>
    </w:p>
    <w:p w14:paraId="4D765636" w14:textId="77777777" w:rsidR="004619FD" w:rsidRDefault="004619FD" w:rsidP="004619FD">
      <w:pPr>
        <w:pStyle w:val="bullets-abc"/>
        <w:numPr>
          <w:ilvl w:val="0"/>
          <w:numId w:val="0"/>
        </w:numPr>
        <w:ind w:left="720"/>
        <w:rPr>
          <w:spacing w:val="-4"/>
        </w:rPr>
      </w:pPr>
    </w:p>
    <w:p w14:paraId="2ED787A6" w14:textId="3A349304" w:rsidR="004619FD" w:rsidRPr="001B689A" w:rsidRDefault="004619FD" w:rsidP="004619FD">
      <w:pPr>
        <w:pStyle w:val="bullets-abc"/>
        <w:ind w:left="720"/>
        <w:rPr>
          <w:spacing w:val="-4"/>
        </w:rPr>
      </w:pPr>
      <w:r w:rsidRPr="004619FD">
        <w:rPr>
          <w:spacing w:val="-4"/>
        </w:rPr>
        <w:t>The [</w:t>
      </w:r>
      <w:r w:rsidRPr="004619FD">
        <w:rPr>
          <w:i/>
          <w:spacing w:val="-4"/>
        </w:rPr>
        <w:t>governing state agency</w:t>
      </w:r>
      <w:r w:rsidRPr="004619FD">
        <w:rPr>
          <w:spacing w:val="-4"/>
        </w:rPr>
        <w:t>] shall, within [</w:t>
      </w:r>
      <w:r w:rsidRPr="004619FD">
        <w:rPr>
          <w:i/>
          <w:spacing w:val="-4"/>
        </w:rPr>
        <w:t>6 months</w:t>
      </w:r>
      <w:r w:rsidRPr="004619FD">
        <w:rPr>
          <w:spacing w:val="-4"/>
        </w:rPr>
        <w:t>] of the effective date of this Act, develop a Community Engagement Plan. The Plan must include specific strategies for when and how public engagement will occur and with whom. It shall include strategies aimed at overcoming barriers to engagement associated with race, income, age, disability, English language proficiency, and vehicle access of populations affected by this Act, including a means of measuring success in overcoming these barriers.</w:t>
      </w:r>
    </w:p>
    <w:p w14:paraId="45FD028A" w14:textId="77777777" w:rsidR="00D62DA9" w:rsidRPr="00E67039" w:rsidRDefault="00D62DA9" w:rsidP="00E67039">
      <w:pPr>
        <w:pStyle w:val="bullets-abc"/>
        <w:numPr>
          <w:ilvl w:val="0"/>
          <w:numId w:val="0"/>
        </w:numPr>
        <w:ind w:left="720"/>
      </w:pPr>
    </w:p>
    <w:p w14:paraId="16574486" w14:textId="01ABEA7F" w:rsidR="00D62DA9" w:rsidRDefault="00D62DA9" w:rsidP="0095202F">
      <w:pPr>
        <w:pStyle w:val="bullets-abc"/>
        <w:ind w:left="720"/>
      </w:pPr>
      <w:r w:rsidRPr="00E67039">
        <w:t>The [</w:t>
      </w:r>
      <w:r w:rsidRPr="00E67039">
        <w:rPr>
          <w:i/>
        </w:rPr>
        <w:t>governing state agency</w:t>
      </w:r>
      <w:r w:rsidRPr="00E67039">
        <w:t>] shall, within [</w:t>
      </w:r>
      <w:r w:rsidRPr="00E67039">
        <w:rPr>
          <w:i/>
        </w:rPr>
        <w:t>6 months</w:t>
      </w:r>
      <w:r w:rsidRPr="00E67039">
        <w:t>] of the effective date of this Act, develop and/or adopt, and thereafter rely upon, the most current street design standards and guidelines that best promote and support Complete Streets. All such standards and guidelines shall be publicly available online.</w:t>
      </w:r>
    </w:p>
    <w:p w14:paraId="2CEC7ABC" w14:textId="77777777" w:rsidR="00D62DA9" w:rsidRPr="00E67039" w:rsidRDefault="00D62DA9" w:rsidP="00041783">
      <w:pPr>
        <w:rPr>
          <w:rFonts w:cs="ArialMT"/>
        </w:rPr>
      </w:pPr>
    </w:p>
    <w:p w14:paraId="47B6C4C0" w14:textId="77777777" w:rsidR="001C0C7A" w:rsidRDefault="000831C6" w:rsidP="001C0C7A">
      <w:pPr>
        <w:pStyle w:val="commentsbox"/>
        <w:spacing w:after="120"/>
        <w:ind w:left="720"/>
      </w:pPr>
      <w:r w:rsidRPr="000831C6">
        <w:rPr>
          <w:b/>
        </w:rPr>
        <w:t>COMMENT:</w:t>
      </w:r>
      <w:r w:rsidRPr="000831C6">
        <w:t xml:space="preserve"> </w:t>
      </w:r>
      <w:r w:rsidR="00D62DA9" w:rsidRPr="000831C6">
        <w:t>Examples of street design standards and guidelines that promote and support Complete Streets are as follows:</w:t>
      </w:r>
    </w:p>
    <w:p w14:paraId="6D200E9C" w14:textId="58AA2E04" w:rsidR="001C0C7A" w:rsidRDefault="000831C6" w:rsidP="001C0C7A">
      <w:pPr>
        <w:pStyle w:val="commentsbox"/>
        <w:spacing w:after="120"/>
        <w:ind w:left="900" w:hanging="180"/>
      </w:pPr>
      <w:r>
        <w:t xml:space="preserve">• </w:t>
      </w:r>
      <w:r w:rsidR="001C0C7A">
        <w:tab/>
      </w:r>
      <w:r w:rsidR="00D62DA9" w:rsidRPr="009E13A2">
        <w:rPr>
          <w:i/>
        </w:rPr>
        <w:t xml:space="preserve">Urban Street Design Guide, Urban Bikeway Design Guide, Transit Street Design Guide, </w:t>
      </w:r>
      <w:r w:rsidR="00D62DA9" w:rsidRPr="009E13A2">
        <w:t>and</w:t>
      </w:r>
      <w:r w:rsidR="00D62DA9" w:rsidRPr="009E13A2">
        <w:rPr>
          <w:i/>
        </w:rPr>
        <w:t xml:space="preserve"> Global Street Design Guide</w:t>
      </w:r>
      <w:r w:rsidR="00D62DA9" w:rsidRPr="000831C6">
        <w:t xml:space="preserve"> (National Association of City Transportation Officials)</w:t>
      </w:r>
    </w:p>
    <w:p w14:paraId="6A82EF6E" w14:textId="13B43728" w:rsidR="001C0C7A" w:rsidRDefault="000831C6" w:rsidP="001C0C7A">
      <w:pPr>
        <w:pStyle w:val="commentsbox"/>
        <w:spacing w:after="120"/>
        <w:ind w:left="900" w:hanging="180"/>
      </w:pPr>
      <w:r>
        <w:t xml:space="preserve">• </w:t>
      </w:r>
      <w:r w:rsidR="001C0C7A">
        <w:tab/>
      </w:r>
      <w:r w:rsidR="00D62DA9" w:rsidRPr="009E13A2">
        <w:rPr>
          <w:i/>
        </w:rPr>
        <w:t>Small Town and Rural Multimodal Networks</w:t>
      </w:r>
      <w:r w:rsidR="00D62DA9" w:rsidRPr="000831C6">
        <w:t xml:space="preserve"> (US Department of Transportation, Federal Highway Administration)</w:t>
      </w:r>
    </w:p>
    <w:p w14:paraId="3A6DD64D" w14:textId="03B4BBFF" w:rsidR="001C0C7A" w:rsidRDefault="000831C6" w:rsidP="001C0C7A">
      <w:pPr>
        <w:pStyle w:val="commentsbox"/>
        <w:spacing w:after="120"/>
        <w:ind w:left="900" w:hanging="180"/>
      </w:pPr>
      <w:r>
        <w:t xml:space="preserve">• </w:t>
      </w:r>
      <w:r w:rsidR="001C0C7A">
        <w:tab/>
      </w:r>
      <w:r w:rsidR="00D62DA9" w:rsidRPr="009E13A2">
        <w:rPr>
          <w:i/>
        </w:rPr>
        <w:t>Designing Walkable Urban Thoroughfares: A Context Sensitive Approach</w:t>
      </w:r>
      <w:r w:rsidR="00D62DA9" w:rsidRPr="000831C6">
        <w:t xml:space="preserve"> (Institute of Transportation Engineers/Congress for the New Urbanism)</w:t>
      </w:r>
    </w:p>
    <w:p w14:paraId="34C6C52D" w14:textId="479CDD88" w:rsidR="001C0C7A" w:rsidRDefault="009E13A2" w:rsidP="001C0C7A">
      <w:pPr>
        <w:pStyle w:val="commentsbox"/>
        <w:spacing w:after="120"/>
        <w:ind w:left="900" w:hanging="180"/>
      </w:pPr>
      <w:r>
        <w:lastRenderedPageBreak/>
        <w:t xml:space="preserve">• </w:t>
      </w:r>
      <w:r w:rsidR="001C0C7A">
        <w:tab/>
      </w:r>
      <w:r w:rsidR="00D62DA9" w:rsidRPr="009E13A2">
        <w:rPr>
          <w:i/>
        </w:rPr>
        <w:t>Separated Bike Lane Planning and Design Guide</w:t>
      </w:r>
      <w:r w:rsidR="00D62DA9" w:rsidRPr="000831C6">
        <w:t xml:space="preserve"> (US Department of Transportation, Federal Highway Administration</w:t>
      </w:r>
    </w:p>
    <w:p w14:paraId="3DF41A85" w14:textId="67EB9793" w:rsidR="001C0C7A" w:rsidRDefault="000831C6" w:rsidP="001C0C7A">
      <w:pPr>
        <w:pStyle w:val="commentsbox"/>
        <w:spacing w:after="120"/>
        <w:ind w:left="900" w:hanging="180"/>
      </w:pPr>
      <w:r>
        <w:rPr>
          <w:rStyle w:val="Hyperlink"/>
          <w:color w:val="auto"/>
          <w:u w:val="none"/>
        </w:rPr>
        <w:t xml:space="preserve">• </w:t>
      </w:r>
      <w:r w:rsidR="001C0C7A">
        <w:rPr>
          <w:rStyle w:val="Hyperlink"/>
          <w:color w:val="auto"/>
          <w:u w:val="none"/>
        </w:rPr>
        <w:tab/>
      </w:r>
      <w:hyperlink r:id="rId9" w:history="1">
        <w:r w:rsidR="00D62DA9" w:rsidRPr="009E13A2">
          <w:rPr>
            <w:rStyle w:val="Hyperlink"/>
            <w:i/>
            <w:color w:val="auto"/>
            <w:u w:val="none"/>
          </w:rPr>
          <w:t>Pedestrian Safety Guide and Countermeasure Selection System</w:t>
        </w:r>
      </w:hyperlink>
      <w:r w:rsidR="00D62DA9" w:rsidRPr="000831C6">
        <w:t xml:space="preserve"> (US Department of Transportation, Federal Highway Administration)</w:t>
      </w:r>
    </w:p>
    <w:p w14:paraId="68A2C10D" w14:textId="6FC9C79B" w:rsidR="00D62DA9" w:rsidRPr="00041783" w:rsidRDefault="000831C6" w:rsidP="00041783">
      <w:pPr>
        <w:pStyle w:val="commentsbox"/>
        <w:spacing w:after="240"/>
        <w:ind w:left="900" w:hanging="180"/>
      </w:pPr>
      <w:r>
        <w:t xml:space="preserve">• </w:t>
      </w:r>
      <w:r w:rsidR="001C0C7A">
        <w:tab/>
      </w:r>
      <w:r w:rsidR="00D62DA9" w:rsidRPr="009E13A2">
        <w:rPr>
          <w:i/>
        </w:rPr>
        <w:t>Bicycle Safety Guide and Countermeasure Selection System</w:t>
      </w:r>
      <w:r w:rsidR="00D62DA9" w:rsidRPr="000831C6">
        <w:t xml:space="preserve"> (US Department of Transportation, Federal Highway Administration)</w:t>
      </w:r>
    </w:p>
    <w:p w14:paraId="72F3F541" w14:textId="6E46035A" w:rsidR="00D62DA9" w:rsidRPr="00E67039" w:rsidRDefault="00D62DA9" w:rsidP="00041783">
      <w:pPr>
        <w:pStyle w:val="Heading3"/>
      </w:pPr>
      <w:bookmarkStart w:id="12" w:name="_Hlk529096537"/>
      <w:r w:rsidRPr="00AE0F85">
        <w:t>§</w:t>
      </w:r>
      <w:r w:rsidRPr="00AE0F85">
        <w:softHyphen/>
      </w:r>
      <w:r w:rsidRPr="00AE0F85">
        <w:softHyphen/>
        <w:t>_ -7. Evaluation.</w:t>
      </w:r>
      <w:bookmarkEnd w:id="12"/>
    </w:p>
    <w:p w14:paraId="7A92ED8D" w14:textId="34139F0F" w:rsidR="00D62DA9" w:rsidRPr="00041783" w:rsidRDefault="00D62DA9" w:rsidP="00041783">
      <w:pPr>
        <w:pStyle w:val="bullets-abc"/>
        <w:numPr>
          <w:ilvl w:val="0"/>
          <w:numId w:val="19"/>
        </w:numPr>
        <w:spacing w:after="120"/>
        <w:ind w:left="720"/>
        <w:rPr>
          <w:spacing w:val="-2"/>
        </w:rPr>
      </w:pPr>
      <w:r w:rsidRPr="001B689A">
        <w:rPr>
          <w:spacing w:val="-2"/>
        </w:rPr>
        <w:t>The [</w:t>
      </w:r>
      <w:r w:rsidRPr="001B689A">
        <w:rPr>
          <w:i/>
          <w:spacing w:val="-2"/>
        </w:rPr>
        <w:t>governing state agency</w:t>
      </w:r>
      <w:r w:rsidRPr="001B689A">
        <w:rPr>
          <w:spacing w:val="-2"/>
        </w:rPr>
        <w:t>] shall, within [</w:t>
      </w:r>
      <w:r w:rsidRPr="001B689A">
        <w:rPr>
          <w:i/>
          <w:spacing w:val="-2"/>
        </w:rPr>
        <w:t>6 months</w:t>
      </w:r>
      <w:r w:rsidRPr="001B689A">
        <w:rPr>
          <w:spacing w:val="-2"/>
        </w:rPr>
        <w:t>] of the effective date of this Act, establish measurable benchmarks demonstrating that (</w:t>
      </w:r>
      <w:proofErr w:type="spellStart"/>
      <w:r w:rsidRPr="001B689A">
        <w:rPr>
          <w:spacing w:val="-2"/>
        </w:rPr>
        <w:t>i</w:t>
      </w:r>
      <w:proofErr w:type="spellEnd"/>
      <w:r w:rsidRPr="001B689A">
        <w:rPr>
          <w:spacing w:val="-2"/>
        </w:rPr>
        <w:t>) all categories of users identified in § _-3 (a) of this Act are able to travel safely, comfortably, and conveniently along and across streets and roadways under the jurisdiction of the state, and that (ii) Complete Streets are prioritized and implemented in High Need Areas.</w:t>
      </w:r>
    </w:p>
    <w:p w14:paraId="71B0231F" w14:textId="77777777" w:rsidR="00D62DA9" w:rsidRPr="00E67039" w:rsidRDefault="00D62DA9" w:rsidP="0095202F">
      <w:pPr>
        <w:pStyle w:val="bullets-abc"/>
        <w:ind w:left="720"/>
      </w:pPr>
      <w:r w:rsidRPr="00E67039">
        <w:t>The [</w:t>
      </w:r>
      <w:r w:rsidRPr="00E67039">
        <w:rPr>
          <w:i/>
        </w:rPr>
        <w:t>governing state agency</w:t>
      </w:r>
      <w:r w:rsidRPr="00E67039">
        <w:t>] shall, within [</w:t>
      </w:r>
      <w:r w:rsidRPr="00E67039">
        <w:rPr>
          <w:i/>
        </w:rPr>
        <w:t>1 year</w:t>
      </w:r>
      <w:r w:rsidRPr="00E67039">
        <w:t>] of the effective date of this Act, and annually thereafter, collect data for the purpose of evaluating progress made with respect to the benchmarks established in §_7 (a).</w:t>
      </w:r>
    </w:p>
    <w:p w14:paraId="0D40417E" w14:textId="77777777" w:rsidR="00D62DA9" w:rsidRPr="00E67039" w:rsidRDefault="00D62DA9" w:rsidP="00E67039">
      <w:pPr>
        <w:pStyle w:val="bullets-abc"/>
        <w:numPr>
          <w:ilvl w:val="0"/>
          <w:numId w:val="0"/>
        </w:numPr>
        <w:ind w:left="720"/>
      </w:pPr>
    </w:p>
    <w:p w14:paraId="7E67F889" w14:textId="6720E07D" w:rsidR="00D62DA9" w:rsidRPr="00767DBC" w:rsidRDefault="00767DBC" w:rsidP="00E67039">
      <w:pPr>
        <w:pStyle w:val="commentsbox"/>
        <w:spacing w:after="120"/>
        <w:ind w:left="720"/>
      </w:pPr>
      <w:r w:rsidRPr="000831C6">
        <w:rPr>
          <w:b/>
        </w:rPr>
        <w:t>COMMENT:</w:t>
      </w:r>
      <w:r w:rsidRPr="000831C6">
        <w:t xml:space="preserve"> </w:t>
      </w:r>
      <w:r w:rsidR="00D62DA9" w:rsidRPr="00767DBC">
        <w:t xml:space="preserve">Establishing specific benchmarks and consistent data collection practices greatly increases accountability and the state’s ability to assess progress and compliance with the Act. Requiring benchmarks for implementation of the Act in High Need Areas is particularly important given that such areas have been historically neglected. </w:t>
      </w:r>
    </w:p>
    <w:p w14:paraId="61202531" w14:textId="77777777" w:rsidR="00041783" w:rsidRDefault="00D62DA9" w:rsidP="00041783">
      <w:pPr>
        <w:pStyle w:val="commentsbox"/>
        <w:spacing w:after="120"/>
        <w:ind w:left="720"/>
        <w:rPr>
          <w:spacing w:val="-4"/>
        </w:rPr>
      </w:pPr>
      <w:r w:rsidRPr="00E04F34">
        <w:rPr>
          <w:spacing w:val="-4"/>
        </w:rPr>
        <w:t>Examples of data commonly collected include mileage of bicycle and pedestrian infrastructure added, number of curb ramps built, number of street trees planted, bicycle and pedestrian counts, and traffic collision statistics. Benchmarks can also be used to specify measures related to the planning process, such as how well the community engagement process reached people in High Need Areas, as well as address other outcomes related to this Act, such as equity, access, economy, environment, safety, and health.</w:t>
      </w:r>
    </w:p>
    <w:p w14:paraId="111B5311" w14:textId="329A3641" w:rsidR="00E67039" w:rsidRPr="001B689A" w:rsidRDefault="00D62DA9" w:rsidP="00041783">
      <w:pPr>
        <w:pStyle w:val="commentsbox"/>
        <w:spacing w:after="120"/>
        <w:ind w:left="720"/>
        <w:rPr>
          <w:spacing w:val="-4"/>
        </w:rPr>
      </w:pPr>
      <w:r w:rsidRPr="00767DBC">
        <w:t xml:space="preserve">For more information on setting benchmarks and collecting data, see the following: </w:t>
      </w:r>
    </w:p>
    <w:p w14:paraId="543E9E62" w14:textId="77777777" w:rsidR="00E67039" w:rsidRDefault="00767DBC" w:rsidP="00E67039">
      <w:pPr>
        <w:pStyle w:val="commentsbox"/>
        <w:spacing w:after="120"/>
        <w:ind w:left="900" w:hanging="180"/>
      </w:pPr>
      <w:r>
        <w:t xml:space="preserve">• </w:t>
      </w:r>
      <w:r w:rsidR="00D62DA9" w:rsidRPr="00767DBC">
        <w:rPr>
          <w:i/>
        </w:rPr>
        <w:t>Guidebook for Developing Pedestrian &amp; Bicycle Performance Measures</w:t>
      </w:r>
      <w:r w:rsidR="00D62DA9" w:rsidRPr="00767DBC">
        <w:t xml:space="preserve">, Federal Highway Administration, available online at </w:t>
      </w:r>
      <w:hyperlink r:id="rId10" w:history="1">
        <w:r w:rsidR="00D62DA9" w:rsidRPr="00767DBC">
          <w:rPr>
            <w:rStyle w:val="Hyperlink"/>
            <w:i/>
            <w:color w:val="00598D"/>
            <w:u w:val="none"/>
          </w:rPr>
          <w:t>www.fhwa.dot.gov/environment/bicycle_pedestrian/publications/performance_measures_guidebook/pm_guidebook.pdf</w:t>
        </w:r>
      </w:hyperlink>
      <w:r w:rsidR="00D62DA9" w:rsidRPr="00767DBC">
        <w:rPr>
          <w:color w:val="00598D"/>
        </w:rPr>
        <w:t xml:space="preserve"> </w:t>
      </w:r>
    </w:p>
    <w:p w14:paraId="3154F03F" w14:textId="0A12ABDF" w:rsidR="00D62DA9" w:rsidRPr="00E67039" w:rsidRDefault="00767DBC" w:rsidP="00E04F34">
      <w:pPr>
        <w:pStyle w:val="commentsbox"/>
        <w:spacing w:after="240"/>
        <w:ind w:left="900" w:hanging="180"/>
      </w:pPr>
      <w:r>
        <w:t xml:space="preserve">• </w:t>
      </w:r>
      <w:r w:rsidR="00D62DA9" w:rsidRPr="00767DBC">
        <w:rPr>
          <w:i/>
        </w:rPr>
        <w:t>Measuring Performance</w:t>
      </w:r>
      <w:r w:rsidR="00D62DA9" w:rsidRPr="00767DBC">
        <w:t xml:space="preserve">, National Complete Streets Coalition/Smart Growth America, available online at </w:t>
      </w:r>
      <w:hyperlink r:id="rId11" w:history="1">
        <w:r w:rsidR="00D62DA9" w:rsidRPr="00767DBC">
          <w:rPr>
            <w:rStyle w:val="Hyperlink"/>
            <w:i/>
            <w:color w:val="00598D"/>
            <w:u w:val="none"/>
          </w:rPr>
          <w:t>http://old.smartgrowthamerica.org/complete-streets/implementation/measuring-performance</w:t>
        </w:r>
      </w:hyperlink>
    </w:p>
    <w:p w14:paraId="3F581A30" w14:textId="4F70ED3A" w:rsidR="00D62DA9" w:rsidRDefault="00D62DA9" w:rsidP="00041783">
      <w:pPr>
        <w:pStyle w:val="bullets-abc"/>
        <w:ind w:left="720"/>
      </w:pPr>
      <w:r w:rsidRPr="00E67039">
        <w:t>The benchmarks and data required in Sections §_-7 (a)-(b) shall be made publicly available online.</w:t>
      </w:r>
    </w:p>
    <w:p w14:paraId="3A49AC74" w14:textId="3769A493" w:rsidR="007C4D0E" w:rsidRDefault="007C4D0E" w:rsidP="007C4D0E">
      <w:pPr>
        <w:pStyle w:val="bullets-abc"/>
        <w:numPr>
          <w:ilvl w:val="0"/>
          <w:numId w:val="0"/>
        </w:numPr>
        <w:ind w:left="1530" w:hanging="360"/>
      </w:pPr>
    </w:p>
    <w:p w14:paraId="6ADB6B59" w14:textId="77777777" w:rsidR="007C4D0E" w:rsidRPr="00041783" w:rsidRDefault="007C4D0E" w:rsidP="007C4D0E">
      <w:pPr>
        <w:pStyle w:val="bullets-abc"/>
        <w:numPr>
          <w:ilvl w:val="0"/>
          <w:numId w:val="0"/>
        </w:numPr>
        <w:ind w:left="1530" w:hanging="360"/>
      </w:pPr>
    </w:p>
    <w:p w14:paraId="1A038B96" w14:textId="014EFE95" w:rsidR="00D62DA9" w:rsidRPr="00E67039" w:rsidRDefault="00D62DA9" w:rsidP="00041783">
      <w:pPr>
        <w:pStyle w:val="Heading3"/>
      </w:pPr>
      <w:bookmarkStart w:id="13" w:name="_Hlk529096556"/>
      <w:r w:rsidRPr="00AE0F85">
        <w:lastRenderedPageBreak/>
        <w:t>§_-8. Local Jurisdictions.</w:t>
      </w:r>
      <w:bookmarkEnd w:id="13"/>
    </w:p>
    <w:p w14:paraId="150EB8A9" w14:textId="77777777" w:rsidR="00D62DA9" w:rsidRPr="00E67039" w:rsidRDefault="00D62DA9" w:rsidP="00E67039">
      <w:pPr>
        <w:pStyle w:val="BasicParagraph"/>
      </w:pPr>
      <w:r w:rsidRPr="00E67039">
        <w:t>In order to encourage local jurisdictions to adopt and implement a Complete Streets policy, the [</w:t>
      </w:r>
      <w:r w:rsidRPr="001B689A">
        <w:rPr>
          <w:i/>
        </w:rPr>
        <w:t>governing state agency</w:t>
      </w:r>
      <w:r w:rsidRPr="00E67039">
        <w:t>] shall do the following:</w:t>
      </w:r>
    </w:p>
    <w:p w14:paraId="70CEE397" w14:textId="77777777" w:rsidR="00D62DA9" w:rsidRPr="003E3863" w:rsidRDefault="00D62DA9" w:rsidP="00D62DA9">
      <w:pPr>
        <w:pStyle w:val="ListParagraph"/>
        <w:autoSpaceDE w:val="0"/>
        <w:autoSpaceDN w:val="0"/>
        <w:adjustRightInd w:val="0"/>
        <w:spacing w:after="0" w:line="240" w:lineRule="auto"/>
        <w:ind w:left="360"/>
        <w:rPr>
          <w:rFonts w:cs="ArialMT"/>
          <w:sz w:val="24"/>
          <w:szCs w:val="24"/>
        </w:rPr>
      </w:pPr>
    </w:p>
    <w:p w14:paraId="4BFDFA89" w14:textId="77777777" w:rsidR="00D62DA9" w:rsidRPr="00E67039" w:rsidRDefault="00D62DA9" w:rsidP="006D5042">
      <w:pPr>
        <w:pStyle w:val="bullets-abc"/>
        <w:numPr>
          <w:ilvl w:val="0"/>
          <w:numId w:val="20"/>
        </w:numPr>
        <w:ind w:left="720"/>
      </w:pPr>
      <w:r w:rsidRPr="00E67039">
        <w:t>Within [</w:t>
      </w:r>
      <w:r w:rsidRPr="00E67039">
        <w:rPr>
          <w:i/>
        </w:rPr>
        <w:t>12</w:t>
      </w:r>
      <w:r w:rsidRPr="00E67039">
        <w:t>] months of the effective date of this Act, develop a model Complete Streets policy for local jurisdictions and disseminate it to all local jurisdictions.</w:t>
      </w:r>
    </w:p>
    <w:p w14:paraId="69813C26" w14:textId="77777777" w:rsidR="00D62DA9" w:rsidRPr="003E3863" w:rsidRDefault="00D62DA9" w:rsidP="00D62DA9">
      <w:pPr>
        <w:pStyle w:val="ListParagraph"/>
        <w:autoSpaceDE w:val="0"/>
        <w:autoSpaceDN w:val="0"/>
        <w:adjustRightInd w:val="0"/>
        <w:spacing w:after="0" w:line="240" w:lineRule="auto"/>
        <w:ind w:left="360"/>
        <w:rPr>
          <w:rFonts w:cs="ArialMT"/>
          <w:sz w:val="24"/>
          <w:szCs w:val="24"/>
        </w:rPr>
      </w:pPr>
    </w:p>
    <w:p w14:paraId="1DED6A9A" w14:textId="40C2C6DE" w:rsidR="00D62DA9" w:rsidRPr="00AE0F85" w:rsidRDefault="00AE0F85" w:rsidP="00E67039">
      <w:pPr>
        <w:pStyle w:val="commentsbox"/>
        <w:ind w:left="720"/>
      </w:pPr>
      <w:r w:rsidRPr="000831C6">
        <w:rPr>
          <w:b/>
        </w:rPr>
        <w:t>COMMENT:</w:t>
      </w:r>
      <w:r w:rsidRPr="000831C6">
        <w:t xml:space="preserve"> </w:t>
      </w:r>
      <w:r w:rsidR="00D62DA9" w:rsidRPr="00AE0F85">
        <w:t xml:space="preserve">The governing state agency, usually the state department of transportation, can develop its own model or use an existing available model. See </w:t>
      </w:r>
      <w:proofErr w:type="spellStart"/>
      <w:r w:rsidR="00D62DA9" w:rsidRPr="00AE0F85">
        <w:t>ChangeLab</w:t>
      </w:r>
      <w:proofErr w:type="spellEnd"/>
      <w:r w:rsidR="00D62DA9" w:rsidRPr="00AE0F85">
        <w:t xml:space="preserve"> Solutions’ </w:t>
      </w:r>
      <w:r w:rsidR="00D62DA9" w:rsidRPr="00AE0F85">
        <w:rPr>
          <w:i/>
        </w:rPr>
        <w:t>Model Complete Streets Resolution for Local Governments</w:t>
      </w:r>
      <w:r w:rsidR="00D62DA9" w:rsidRPr="00AE0F85">
        <w:t xml:space="preserve">, available at </w:t>
      </w:r>
      <w:r w:rsidR="00D62DA9" w:rsidRPr="00AE0F85">
        <w:rPr>
          <w:i/>
          <w:color w:val="00598D"/>
        </w:rPr>
        <w:t>www.</w:t>
      </w:r>
      <w:hyperlink r:id="rId12" w:history="1">
        <w:r w:rsidR="00D62DA9" w:rsidRPr="00AE0F85">
          <w:rPr>
            <w:rStyle w:val="Hyperlink"/>
            <w:i/>
            <w:color w:val="00598D"/>
            <w:u w:val="none"/>
          </w:rPr>
          <w:t>changelabsolutions.org/publications/complete-streets-res-local-gov</w:t>
        </w:r>
      </w:hyperlink>
      <w:r w:rsidR="00D62DA9" w:rsidRPr="00AE0F85">
        <w:t>.</w:t>
      </w:r>
    </w:p>
    <w:p w14:paraId="381F65E5" w14:textId="77777777" w:rsidR="00D62DA9" w:rsidRPr="003E3863" w:rsidRDefault="00D62DA9" w:rsidP="00D62DA9">
      <w:pPr>
        <w:pStyle w:val="ListParagraph"/>
        <w:autoSpaceDE w:val="0"/>
        <w:autoSpaceDN w:val="0"/>
        <w:adjustRightInd w:val="0"/>
        <w:spacing w:after="0" w:line="240" w:lineRule="auto"/>
        <w:ind w:left="2880"/>
        <w:rPr>
          <w:rFonts w:cs="ArialMT"/>
          <w:sz w:val="24"/>
          <w:szCs w:val="24"/>
        </w:rPr>
      </w:pPr>
    </w:p>
    <w:p w14:paraId="2794D4C4" w14:textId="77777777" w:rsidR="00D62DA9" w:rsidRPr="00E67039" w:rsidRDefault="00D62DA9" w:rsidP="0095202F">
      <w:pPr>
        <w:pStyle w:val="bullets-abc"/>
        <w:ind w:left="720"/>
      </w:pPr>
      <w:r w:rsidRPr="00E67039">
        <w:t>Provide education and training on its model Complete Streets policy for local jurisdictions in each [</w:t>
      </w:r>
      <w:r w:rsidRPr="00E67039">
        <w:rPr>
          <w:i/>
        </w:rPr>
        <w:t>insert region or district</w:t>
      </w:r>
      <w:r w:rsidRPr="00E67039">
        <w:t>] within [</w:t>
      </w:r>
      <w:r w:rsidRPr="00E67039">
        <w:rPr>
          <w:i/>
        </w:rPr>
        <w:t>12</w:t>
      </w:r>
      <w:r w:rsidRPr="00E67039">
        <w:t>] months of the effective date of this Act, and [</w:t>
      </w:r>
      <w:r w:rsidRPr="00E67039">
        <w:rPr>
          <w:i/>
        </w:rPr>
        <w:t>annually</w:t>
      </w:r>
      <w:r w:rsidRPr="00E67039">
        <w:t>] thereafter; and upon request from a local jurisdiction, provide additional technical assistance with respect to implementation of a locally adopted Complete Streets policy.</w:t>
      </w:r>
    </w:p>
    <w:p w14:paraId="13B31D20" w14:textId="77777777" w:rsidR="00D62DA9" w:rsidRDefault="00D62DA9" w:rsidP="00D62DA9">
      <w:pPr>
        <w:pStyle w:val="ListParagraph"/>
        <w:autoSpaceDE w:val="0"/>
        <w:autoSpaceDN w:val="0"/>
        <w:adjustRightInd w:val="0"/>
        <w:spacing w:after="0" w:line="240" w:lineRule="auto"/>
        <w:ind w:left="360"/>
        <w:rPr>
          <w:rFonts w:cs="ArialMT"/>
          <w:sz w:val="24"/>
          <w:szCs w:val="24"/>
        </w:rPr>
      </w:pPr>
    </w:p>
    <w:p w14:paraId="597117C2" w14:textId="2B213778" w:rsidR="00D62DA9" w:rsidRPr="004B1705" w:rsidRDefault="00AE0F85" w:rsidP="00E67039">
      <w:pPr>
        <w:pStyle w:val="commentsbox"/>
        <w:ind w:left="720"/>
        <w:rPr>
          <w:b/>
        </w:rPr>
      </w:pPr>
      <w:r w:rsidRPr="000831C6">
        <w:rPr>
          <w:b/>
        </w:rPr>
        <w:t>COMMENT:</w:t>
      </w:r>
      <w:r w:rsidRPr="000831C6">
        <w:t xml:space="preserve"> </w:t>
      </w:r>
      <w:r w:rsidR="00D62DA9" w:rsidRPr="00AE0F85">
        <w:t>In many states, the governing state agency, usually the state department of transportation, may want to work with the state department of health regarding this provision. A state’s health department may be in the best position to provide education, training, and technical assistance to local jurisdictions on Complete Streets.</w:t>
      </w:r>
    </w:p>
    <w:p w14:paraId="17718E70" w14:textId="77777777" w:rsidR="00D62DA9" w:rsidRPr="00E04F34" w:rsidRDefault="00D62DA9" w:rsidP="00E04F34">
      <w:pPr>
        <w:autoSpaceDE w:val="0"/>
        <w:autoSpaceDN w:val="0"/>
        <w:adjustRightInd w:val="0"/>
        <w:spacing w:line="240" w:lineRule="auto"/>
        <w:rPr>
          <w:rFonts w:cs="ArialMT"/>
        </w:rPr>
      </w:pPr>
    </w:p>
    <w:p w14:paraId="096E360C" w14:textId="04C5284E" w:rsidR="00D62DA9" w:rsidRPr="00AE0F85" w:rsidRDefault="00D62DA9" w:rsidP="00041783">
      <w:pPr>
        <w:pStyle w:val="Heading3"/>
      </w:pPr>
      <w:bookmarkStart w:id="14" w:name="_Hlk529096592"/>
      <w:r w:rsidRPr="00AE0F85">
        <w:t>§_-9. Complete Streets Advisory Board.</w:t>
      </w:r>
      <w:bookmarkEnd w:id="14"/>
    </w:p>
    <w:p w14:paraId="641C2C85" w14:textId="77777777" w:rsidR="00D62DA9" w:rsidRPr="003E3863" w:rsidRDefault="00D62DA9" w:rsidP="006D5042">
      <w:pPr>
        <w:pStyle w:val="bullets-abc"/>
        <w:numPr>
          <w:ilvl w:val="0"/>
          <w:numId w:val="21"/>
        </w:numPr>
        <w:ind w:left="720"/>
      </w:pPr>
      <w:r w:rsidRPr="00E67039">
        <w:t>A Complete Streets Advisory Board is hereby established. The Advisory Board shall (</w:t>
      </w:r>
      <w:proofErr w:type="spellStart"/>
      <w:r w:rsidRPr="00E67039">
        <w:t>i</w:t>
      </w:r>
      <w:proofErr w:type="spellEnd"/>
      <w:r w:rsidRPr="00E67039">
        <w:t>) be a resource for, and make recommendations to, the [</w:t>
      </w:r>
      <w:r w:rsidRPr="00E67039">
        <w:rPr>
          <w:i/>
        </w:rPr>
        <w:t>governing state agency</w:t>
      </w:r>
      <w:r w:rsidRPr="00E67039">
        <w:t>] with respect to implementation</w:t>
      </w:r>
      <w:r w:rsidRPr="003E3863">
        <w:t xml:space="preserve"> of this Act, including but not limited to, the provisions governing modification of procedures, protocols, and documents; training and education programs; adoption of street design standards; establishment of benchmarks; collection of relevant data; </w:t>
      </w:r>
      <w:r>
        <w:t xml:space="preserve">development of the Community Engagement Plan; mitigation of potential unintended consequences resulting from implementation of this Act, such as a redistributed risk of collisions to different locations, the potential for involuntary displacement due to increased housing prices, and the creation of accessibility barriers due to infrastructure that does not adequately accommodate people with disabilities; </w:t>
      </w:r>
      <w:r w:rsidRPr="003E3863">
        <w:t>and development and dissemination of a model policy for local jurisdictions; and (ii) submit an annual report as set forth in §_-1</w:t>
      </w:r>
      <w:r>
        <w:t xml:space="preserve">0 </w:t>
      </w:r>
      <w:r w:rsidRPr="003E3863">
        <w:t>of this Act.</w:t>
      </w:r>
    </w:p>
    <w:p w14:paraId="27E4D311" w14:textId="4FD62B09" w:rsidR="00D62DA9" w:rsidRDefault="00D62DA9" w:rsidP="00E67039">
      <w:pPr>
        <w:pStyle w:val="ListParagraph"/>
        <w:autoSpaceDE w:val="0"/>
        <w:autoSpaceDN w:val="0"/>
        <w:adjustRightInd w:val="0"/>
        <w:spacing w:after="0" w:line="240" w:lineRule="auto"/>
        <w:rPr>
          <w:rFonts w:cs="ArialMT"/>
          <w:sz w:val="24"/>
          <w:szCs w:val="24"/>
        </w:rPr>
      </w:pPr>
    </w:p>
    <w:p w14:paraId="663DD4CE" w14:textId="6D19C930" w:rsidR="004619FD" w:rsidRDefault="004619FD" w:rsidP="00E67039">
      <w:pPr>
        <w:pStyle w:val="ListParagraph"/>
        <w:autoSpaceDE w:val="0"/>
        <w:autoSpaceDN w:val="0"/>
        <w:adjustRightInd w:val="0"/>
        <w:spacing w:after="0" w:line="240" w:lineRule="auto"/>
        <w:rPr>
          <w:rFonts w:cs="ArialMT"/>
          <w:sz w:val="24"/>
          <w:szCs w:val="24"/>
        </w:rPr>
      </w:pPr>
    </w:p>
    <w:p w14:paraId="67D86885" w14:textId="4D569AB3" w:rsidR="00D62DA9" w:rsidRPr="00E04F34" w:rsidRDefault="00D62DA9" w:rsidP="00E04F34">
      <w:pPr>
        <w:pStyle w:val="bullets-abc"/>
        <w:spacing w:after="120"/>
        <w:ind w:left="720"/>
      </w:pPr>
      <w:r w:rsidRPr="00E67039">
        <w:lastRenderedPageBreak/>
        <w:t>Within [</w:t>
      </w:r>
      <w:r w:rsidRPr="00E67039">
        <w:rPr>
          <w:i/>
        </w:rPr>
        <w:t>90</w:t>
      </w:r>
      <w:r w:rsidRPr="00E67039">
        <w:t>] days of the effective date of this Act, the Governor shall appoint to the Advisory Board representatives of the following entities:</w:t>
      </w:r>
    </w:p>
    <w:p w14:paraId="742EA8BB" w14:textId="2D56A2BF" w:rsidR="00D62DA9" w:rsidRPr="00E67039" w:rsidRDefault="004619FD" w:rsidP="006D5042">
      <w:pPr>
        <w:pStyle w:val="bullets1"/>
        <w:numPr>
          <w:ilvl w:val="0"/>
          <w:numId w:val="22"/>
        </w:numPr>
        <w:spacing w:after="120"/>
      </w:pPr>
      <w:r>
        <w:t>T</w:t>
      </w:r>
      <w:r w:rsidR="00D62DA9" w:rsidRPr="00E67039">
        <w:t>he [</w:t>
      </w:r>
      <w:r w:rsidR="00D62DA9" w:rsidRPr="00E04F34">
        <w:rPr>
          <w:i/>
        </w:rPr>
        <w:t>state governing state agency</w:t>
      </w:r>
      <w:r w:rsidR="00D62DA9" w:rsidRPr="00E67039">
        <w:t>]</w:t>
      </w:r>
    </w:p>
    <w:p w14:paraId="3D0BF5C9" w14:textId="50AC5D23" w:rsidR="00D62DA9" w:rsidRPr="00E67039" w:rsidRDefault="004619FD" w:rsidP="00E04F34">
      <w:pPr>
        <w:pStyle w:val="bullets1"/>
        <w:spacing w:after="120"/>
      </w:pPr>
      <w:r>
        <w:t>T</w:t>
      </w:r>
      <w:r w:rsidRPr="00E67039">
        <w:t xml:space="preserve">he </w:t>
      </w:r>
      <w:r w:rsidR="00D62DA9" w:rsidRPr="00E67039">
        <w:t>[</w:t>
      </w:r>
      <w:r w:rsidR="00D62DA9" w:rsidRPr="00E04F34">
        <w:rPr>
          <w:i/>
        </w:rPr>
        <w:t>state transportation commission</w:t>
      </w:r>
      <w:r w:rsidR="00D62DA9" w:rsidRPr="00E67039">
        <w:t>]</w:t>
      </w:r>
    </w:p>
    <w:p w14:paraId="0EE0F092" w14:textId="2F350A95" w:rsidR="00D62DA9" w:rsidRPr="00E67039" w:rsidRDefault="004619FD" w:rsidP="00E04F34">
      <w:pPr>
        <w:pStyle w:val="bullets1"/>
        <w:spacing w:after="120"/>
      </w:pPr>
      <w:r>
        <w:t>T</w:t>
      </w:r>
      <w:r w:rsidRPr="00E67039">
        <w:t xml:space="preserve">he </w:t>
      </w:r>
      <w:r w:rsidR="00D62DA9" w:rsidRPr="00E67039">
        <w:t>[</w:t>
      </w:r>
      <w:r w:rsidR="00D62DA9" w:rsidRPr="00E04F34">
        <w:rPr>
          <w:i/>
        </w:rPr>
        <w:t>state department of public health</w:t>
      </w:r>
      <w:r w:rsidR="00D62DA9" w:rsidRPr="00E67039">
        <w:t xml:space="preserve">] </w:t>
      </w:r>
    </w:p>
    <w:p w14:paraId="6679CEA1" w14:textId="6B941510" w:rsidR="00D62DA9" w:rsidRPr="00E67039" w:rsidRDefault="004619FD" w:rsidP="00E04F34">
      <w:pPr>
        <w:pStyle w:val="bullets1"/>
        <w:spacing w:after="120"/>
      </w:pPr>
      <w:r>
        <w:t>T</w:t>
      </w:r>
      <w:r w:rsidRPr="00E67039">
        <w:t xml:space="preserve">he </w:t>
      </w:r>
      <w:r w:rsidR="00D62DA9" w:rsidRPr="00E67039">
        <w:t>[</w:t>
      </w:r>
      <w:r w:rsidR="00D62DA9" w:rsidRPr="00E04F34">
        <w:rPr>
          <w:i/>
        </w:rPr>
        <w:t>state department of police or state highway patrol</w:t>
      </w:r>
      <w:r w:rsidR="00D62DA9" w:rsidRPr="00E67039">
        <w:t>]</w:t>
      </w:r>
    </w:p>
    <w:p w14:paraId="69F8DC2A" w14:textId="70ECDE41" w:rsidR="00D62DA9" w:rsidRPr="00E67039" w:rsidRDefault="004619FD" w:rsidP="00E04F34">
      <w:pPr>
        <w:pStyle w:val="bullets1"/>
        <w:spacing w:after="120"/>
      </w:pPr>
      <w:r>
        <w:t>T</w:t>
      </w:r>
      <w:r w:rsidRPr="00E67039">
        <w:t xml:space="preserve">he </w:t>
      </w:r>
      <w:r w:rsidR="00D62DA9" w:rsidRPr="00E67039">
        <w:t>[</w:t>
      </w:r>
      <w:r w:rsidR="00D62DA9" w:rsidRPr="00E04F34">
        <w:rPr>
          <w:i/>
        </w:rPr>
        <w:t>insert name of state</w:t>
      </w:r>
      <w:r w:rsidR="00D62DA9" w:rsidRPr="00E67039">
        <w:t>] chapter of the American Planning Association (or equivalent)</w:t>
      </w:r>
    </w:p>
    <w:p w14:paraId="0B2323C2" w14:textId="6CDEECAD" w:rsidR="00D62DA9" w:rsidRPr="00E67039" w:rsidRDefault="004619FD" w:rsidP="00E04F34">
      <w:pPr>
        <w:pStyle w:val="bullets1"/>
        <w:spacing w:after="120"/>
      </w:pPr>
      <w:r>
        <w:t>T</w:t>
      </w:r>
      <w:r w:rsidRPr="00E67039">
        <w:t xml:space="preserve">he </w:t>
      </w:r>
      <w:r w:rsidR="00D62DA9" w:rsidRPr="00E67039">
        <w:t>[</w:t>
      </w:r>
      <w:r w:rsidR="00D62DA9" w:rsidRPr="00E04F34">
        <w:rPr>
          <w:i/>
        </w:rPr>
        <w:t>state association of counties</w:t>
      </w:r>
      <w:r w:rsidR="00D62DA9" w:rsidRPr="00E67039">
        <w:t>]</w:t>
      </w:r>
    </w:p>
    <w:p w14:paraId="5E1F7D8D" w14:textId="6AED9720" w:rsidR="00D62DA9" w:rsidRPr="00E67039" w:rsidRDefault="004619FD" w:rsidP="00E04F34">
      <w:pPr>
        <w:pStyle w:val="bullets1"/>
        <w:spacing w:after="120"/>
      </w:pPr>
      <w:r>
        <w:t>T</w:t>
      </w:r>
      <w:r w:rsidRPr="00E67039">
        <w:t xml:space="preserve">he </w:t>
      </w:r>
      <w:r w:rsidR="00D62DA9" w:rsidRPr="00E67039">
        <w:t>[</w:t>
      </w:r>
      <w:r w:rsidR="00D62DA9" w:rsidRPr="00E04F34">
        <w:rPr>
          <w:i/>
        </w:rPr>
        <w:t>state municipal league</w:t>
      </w:r>
      <w:r w:rsidR="00D62DA9" w:rsidRPr="00E67039">
        <w:t>]</w:t>
      </w:r>
    </w:p>
    <w:p w14:paraId="79206D46" w14:textId="5839971A" w:rsidR="00D62DA9" w:rsidRPr="00E67039" w:rsidRDefault="004619FD" w:rsidP="00E04F34">
      <w:pPr>
        <w:pStyle w:val="bullets1"/>
        <w:spacing w:after="120"/>
      </w:pPr>
      <w:r>
        <w:t>T</w:t>
      </w:r>
      <w:r w:rsidRPr="00E67039">
        <w:t xml:space="preserve">he </w:t>
      </w:r>
      <w:r w:rsidR="00D62DA9" w:rsidRPr="00E67039">
        <w:t>[</w:t>
      </w:r>
      <w:r w:rsidR="00D62DA9" w:rsidRPr="00E04F34">
        <w:rPr>
          <w:i/>
        </w:rPr>
        <w:t>state pedestrian/bicycle/multimodal transportation advisory board or council</w:t>
      </w:r>
      <w:r w:rsidR="00D62DA9" w:rsidRPr="00E67039">
        <w:t>] (if applicable), along with any state pedestrian/bicycle/multimodal transportation coordinator(s) (if applicable)</w:t>
      </w:r>
    </w:p>
    <w:p w14:paraId="6C0D1B93" w14:textId="77777777" w:rsidR="00D62DA9" w:rsidRPr="00E67039" w:rsidRDefault="00D62DA9" w:rsidP="00E04F34">
      <w:pPr>
        <w:pStyle w:val="bullets1"/>
        <w:spacing w:after="120"/>
      </w:pPr>
      <w:r w:rsidRPr="00E67039">
        <w:t>A local or regional public transit agency representing a metropolitan area with a population of at least [</w:t>
      </w:r>
      <w:r w:rsidRPr="00E04F34">
        <w:rPr>
          <w:i/>
        </w:rPr>
        <w:t>50,000</w:t>
      </w:r>
      <w:r w:rsidRPr="00E67039">
        <w:t>]</w:t>
      </w:r>
    </w:p>
    <w:p w14:paraId="4DE7CE10" w14:textId="77777777" w:rsidR="00D62DA9" w:rsidRPr="00E67039" w:rsidRDefault="00D62DA9" w:rsidP="00E04F34">
      <w:pPr>
        <w:pStyle w:val="bullets1"/>
        <w:spacing w:after="120"/>
      </w:pPr>
      <w:r w:rsidRPr="00E67039">
        <w:t>A licensed transportation engineer knowledgeable about Complete Streets</w:t>
      </w:r>
    </w:p>
    <w:p w14:paraId="50D918CC" w14:textId="77777777" w:rsidR="00D62DA9" w:rsidRPr="00E67039" w:rsidRDefault="00D62DA9" w:rsidP="00E04F34">
      <w:pPr>
        <w:pStyle w:val="bullets1"/>
        <w:spacing w:after="120"/>
      </w:pPr>
      <w:r w:rsidRPr="00E67039">
        <w:t>An organization that represents the interests of the freight industry</w:t>
      </w:r>
    </w:p>
    <w:p w14:paraId="339933E9" w14:textId="77777777" w:rsidR="00D62DA9" w:rsidRPr="00E67039" w:rsidRDefault="00D62DA9" w:rsidP="00E04F34">
      <w:pPr>
        <w:pStyle w:val="bullets1"/>
        <w:spacing w:after="120"/>
      </w:pPr>
      <w:r w:rsidRPr="00E67039">
        <w:t>An organization that represents the interests of bicyclists</w:t>
      </w:r>
    </w:p>
    <w:p w14:paraId="17693768" w14:textId="77777777" w:rsidR="00D62DA9" w:rsidRPr="00E67039" w:rsidRDefault="00D62DA9" w:rsidP="00E04F34">
      <w:pPr>
        <w:pStyle w:val="bullets1"/>
        <w:spacing w:after="120"/>
      </w:pPr>
      <w:r w:rsidRPr="00E67039">
        <w:t xml:space="preserve">An organization that represents the interests of pedestrians </w:t>
      </w:r>
    </w:p>
    <w:p w14:paraId="3A7F4861" w14:textId="77777777" w:rsidR="00D62DA9" w:rsidRPr="00E67039" w:rsidRDefault="00D62DA9" w:rsidP="00E04F34">
      <w:pPr>
        <w:pStyle w:val="bullets1"/>
        <w:spacing w:after="120"/>
      </w:pPr>
      <w:r w:rsidRPr="00E67039">
        <w:t>An organization that represents the interests of low-income populations</w:t>
      </w:r>
    </w:p>
    <w:p w14:paraId="40088289" w14:textId="77777777" w:rsidR="00D62DA9" w:rsidRPr="00E67039" w:rsidRDefault="00D62DA9" w:rsidP="00E04F34">
      <w:pPr>
        <w:pStyle w:val="bullets1"/>
        <w:spacing w:after="120"/>
      </w:pPr>
      <w:r w:rsidRPr="00E67039">
        <w:t>An organization that represents the interests of senior citizens</w:t>
      </w:r>
    </w:p>
    <w:p w14:paraId="77C85C0A" w14:textId="3EA15383" w:rsidR="00D62DA9" w:rsidRPr="00E67039" w:rsidRDefault="00D62DA9" w:rsidP="00E67039">
      <w:pPr>
        <w:pStyle w:val="bullets1"/>
      </w:pPr>
      <w:r w:rsidRPr="00E67039">
        <w:t>An organization that represents the interests of individuals with disabilities</w:t>
      </w:r>
    </w:p>
    <w:p w14:paraId="3022FE1D" w14:textId="0E79A829" w:rsidR="00D62DA9" w:rsidRPr="00AE0F85" w:rsidRDefault="00D62DA9" w:rsidP="00E04F34">
      <w:pPr>
        <w:pStyle w:val="commentsbox"/>
        <w:spacing w:after="120"/>
        <w:ind w:left="1170"/>
      </w:pPr>
      <w:r w:rsidRPr="00AE0F85">
        <w:rPr>
          <w:b/>
        </w:rPr>
        <w:t>COMMENT:</w:t>
      </w:r>
      <w:r w:rsidRPr="00AE0F85">
        <w:t xml:space="preserve"> Although this model provides a comprehensive list of potential Advisory Board members, states that desire a smaller board can reduce the number of appointments so long as all key stakeholder interests are represented.</w:t>
      </w:r>
    </w:p>
    <w:p w14:paraId="497B5AED" w14:textId="6C58FD6F" w:rsidR="00D62DA9" w:rsidRPr="00AE0F85" w:rsidRDefault="00D62DA9" w:rsidP="00E67039">
      <w:pPr>
        <w:pStyle w:val="commentsbox"/>
        <w:ind w:left="1170"/>
      </w:pPr>
      <w:r w:rsidRPr="00AE0F85">
        <w:t>When the Governor initially appoints the members of the Advisory Board, she or he should also appoint a chair and address procedural issues, such as length of the terms, meeting schedule and place, etc.</w:t>
      </w:r>
    </w:p>
    <w:p w14:paraId="152C6139" w14:textId="77777777" w:rsidR="00D62DA9" w:rsidRPr="00E04F34" w:rsidRDefault="00D62DA9" w:rsidP="00E04F34">
      <w:pPr>
        <w:autoSpaceDE w:val="0"/>
        <w:autoSpaceDN w:val="0"/>
        <w:adjustRightInd w:val="0"/>
        <w:spacing w:line="240" w:lineRule="auto"/>
        <w:rPr>
          <w:rFonts w:cs="ArialMT"/>
          <w:b/>
        </w:rPr>
      </w:pPr>
    </w:p>
    <w:p w14:paraId="5AA5950E" w14:textId="0759B149" w:rsidR="00D62DA9" w:rsidRPr="00AE0F85" w:rsidRDefault="00D62DA9" w:rsidP="00041783">
      <w:pPr>
        <w:pStyle w:val="Heading3"/>
      </w:pPr>
      <w:bookmarkStart w:id="15" w:name="_Hlk529096608"/>
      <w:r w:rsidRPr="003E3863">
        <w:t>§_-</w:t>
      </w:r>
      <w:r>
        <w:t>10</w:t>
      </w:r>
      <w:r w:rsidRPr="003E3863">
        <w:t>.</w:t>
      </w:r>
      <w:r>
        <w:t xml:space="preserve"> </w:t>
      </w:r>
      <w:r w:rsidRPr="003E3863">
        <w:t>Reporting.</w:t>
      </w:r>
      <w:r>
        <w:tab/>
      </w:r>
      <w:bookmarkEnd w:id="15"/>
    </w:p>
    <w:p w14:paraId="1D542FA7" w14:textId="77777777" w:rsidR="00D62DA9" w:rsidRPr="0095202F" w:rsidRDefault="00D62DA9" w:rsidP="006D5042">
      <w:pPr>
        <w:pStyle w:val="bullets-abc"/>
        <w:numPr>
          <w:ilvl w:val="0"/>
          <w:numId w:val="23"/>
        </w:numPr>
        <w:ind w:left="720"/>
      </w:pPr>
      <w:r w:rsidRPr="0095202F">
        <w:t>Within [</w:t>
      </w:r>
      <w:r w:rsidRPr="0095202F">
        <w:rPr>
          <w:i/>
        </w:rPr>
        <w:t>18 to 24 months</w:t>
      </w:r>
      <w:r w:rsidRPr="0095202F">
        <w:t>] of the effective date of this Act, and annually thereafter, the Complete Streets Advisory Board, in coordination with the [</w:t>
      </w:r>
      <w:r w:rsidRPr="0095202F">
        <w:rPr>
          <w:i/>
        </w:rPr>
        <w:t>governing state agency</w:t>
      </w:r>
      <w:r w:rsidRPr="0095202F">
        <w:t xml:space="preserve">], shall submit, and make publicly available online, a report to the Governor, </w:t>
      </w:r>
      <w:r w:rsidRPr="0095202F">
        <w:lastRenderedPageBreak/>
        <w:t>the [</w:t>
      </w:r>
      <w:r w:rsidRPr="0095202F">
        <w:rPr>
          <w:i/>
        </w:rPr>
        <w:t>commissioner of transportation</w:t>
      </w:r>
      <w:r w:rsidRPr="0095202F">
        <w:t>], the Legislature, and [</w:t>
      </w:r>
      <w:r w:rsidRPr="0095202F">
        <w:rPr>
          <w:i/>
        </w:rPr>
        <w:t>add relevant legislative committees, such as joint committees on transportation and public health</w:t>
      </w:r>
      <w:r w:rsidRPr="0095202F">
        <w:t>] on the status of the implementation of this Act.</w:t>
      </w:r>
    </w:p>
    <w:p w14:paraId="41B4CCEB" w14:textId="77777777" w:rsidR="00D62DA9" w:rsidRPr="0095202F" w:rsidRDefault="00D62DA9" w:rsidP="0095202F">
      <w:pPr>
        <w:pStyle w:val="bullets-abc"/>
        <w:numPr>
          <w:ilvl w:val="0"/>
          <w:numId w:val="0"/>
        </w:numPr>
        <w:ind w:left="720"/>
      </w:pPr>
    </w:p>
    <w:p w14:paraId="50263680" w14:textId="77777777" w:rsidR="00D62DA9" w:rsidRPr="0095202F" w:rsidRDefault="00D62DA9" w:rsidP="0095202F">
      <w:pPr>
        <w:pStyle w:val="bullets-abc"/>
        <w:ind w:left="720"/>
      </w:pPr>
      <w:r w:rsidRPr="0095202F">
        <w:t>The report shall be based on the benchmarks and data collected pursuant to §§_- 7 (a)-(b) of this Act, and shall include the following, at a minimum: (</w:t>
      </w:r>
      <w:proofErr w:type="spellStart"/>
      <w:r w:rsidRPr="0095202F">
        <w:t>i</w:t>
      </w:r>
      <w:proofErr w:type="spellEnd"/>
      <w:r w:rsidRPr="0095202F">
        <w:t>) a summary of all Transportation Projects planned or undertaken and their status, including all Complete Streets features incorporated into such projects; (ii) a list and map of all Transportation Projects planned or undertaken that also identify which projects are located in High Need Areas; (iii) a summary of all exceptions granted pursuant to §_-5 of this Act and the reasons therefore, with identification of all such exceptions granted in High Need Areas; (iv) a summary of progress made with respect to the benchmarks established pursuant to §_- 7 of this Act; (v) a report on implementation of §§_-6 and 8 of this Act; and (vi) a list of training and educational events provided pursuant to §_-8(b) of this Act.</w:t>
      </w:r>
    </w:p>
    <w:p w14:paraId="269434B7" w14:textId="592C4FB2" w:rsidR="00D62DA9" w:rsidRPr="00E04F34" w:rsidRDefault="00D62DA9" w:rsidP="00E04F34">
      <w:pPr>
        <w:pStyle w:val="ListParagraph"/>
        <w:autoSpaceDE w:val="0"/>
        <w:autoSpaceDN w:val="0"/>
        <w:adjustRightInd w:val="0"/>
        <w:spacing w:after="0" w:line="240" w:lineRule="auto"/>
        <w:ind w:left="360"/>
        <w:rPr>
          <w:rFonts w:cs="ArialMT"/>
          <w:sz w:val="24"/>
          <w:szCs w:val="24"/>
        </w:rPr>
      </w:pPr>
      <w:r w:rsidRPr="003E3863" w:rsidDel="002E6179">
        <w:rPr>
          <w:rFonts w:cs="ArialMT"/>
          <w:sz w:val="24"/>
          <w:szCs w:val="24"/>
        </w:rPr>
        <w:t xml:space="preserve"> </w:t>
      </w:r>
    </w:p>
    <w:p w14:paraId="73584389" w14:textId="0482C23E" w:rsidR="00D62DA9" w:rsidRPr="00AE0F85" w:rsidRDefault="00D62DA9" w:rsidP="00041783">
      <w:pPr>
        <w:pStyle w:val="Heading3"/>
      </w:pPr>
      <w:bookmarkStart w:id="16" w:name="_Hlk529096626"/>
      <w:r w:rsidRPr="00767DBC">
        <w:t xml:space="preserve">§ _-11. Preservation of Local </w:t>
      </w:r>
      <w:r w:rsidRPr="00AE0F85">
        <w:t>Authority</w:t>
      </w:r>
      <w:r w:rsidRPr="00767DBC">
        <w:t>.</w:t>
      </w:r>
      <w:bookmarkEnd w:id="16"/>
    </w:p>
    <w:p w14:paraId="1C23E066" w14:textId="77777777" w:rsidR="00D62DA9" w:rsidRPr="00767DBC" w:rsidRDefault="00D62DA9" w:rsidP="00767DBC">
      <w:pPr>
        <w:pStyle w:val="BasicParagraph"/>
      </w:pPr>
      <w:r w:rsidRPr="00767DBC">
        <w:t>Nothing in this chapter shall preempt or prevent any municipal government or other political subdivision of the state from establishing additional or more rigorous requirements consistent with the purposes of the Act.</w:t>
      </w:r>
    </w:p>
    <w:p w14:paraId="276465D3" w14:textId="77777777" w:rsidR="00D62DA9" w:rsidRPr="003E3863" w:rsidRDefault="00D62DA9" w:rsidP="00D62DA9">
      <w:pPr>
        <w:autoSpaceDE w:val="0"/>
        <w:autoSpaceDN w:val="0"/>
        <w:adjustRightInd w:val="0"/>
        <w:spacing w:line="240" w:lineRule="auto"/>
        <w:rPr>
          <w:rFonts w:cs="ArialMT"/>
        </w:rPr>
      </w:pPr>
    </w:p>
    <w:p w14:paraId="63788713" w14:textId="155ED3A0" w:rsidR="00E04F34" w:rsidRDefault="00767DBC" w:rsidP="00041783">
      <w:pPr>
        <w:pStyle w:val="commentsbox"/>
        <w:ind w:left="90"/>
      </w:pPr>
      <w:r w:rsidRPr="000831C6">
        <w:rPr>
          <w:b/>
        </w:rPr>
        <w:t>COMMENT:</w:t>
      </w:r>
      <w:r w:rsidRPr="000831C6">
        <w:t xml:space="preserve"> </w:t>
      </w:r>
      <w:r w:rsidR="00D62DA9" w:rsidRPr="00767DBC">
        <w:t>This provision ensures local and regional jurisdictions retain the option to establish stricter or more detailed Complete Street requirements if they so desire.</w:t>
      </w:r>
      <w:bookmarkStart w:id="17" w:name="_Hlk529096641"/>
    </w:p>
    <w:p w14:paraId="71E961EF" w14:textId="77777777" w:rsidR="00E04F34" w:rsidRPr="00E04F34" w:rsidRDefault="00E04F34" w:rsidP="00E04F34">
      <w:pPr>
        <w:pStyle w:val="BasicParagraph"/>
        <w:rPr>
          <w:lang w:bidi="ar-SA"/>
        </w:rPr>
      </w:pPr>
    </w:p>
    <w:p w14:paraId="0731E750" w14:textId="6737D1CD" w:rsidR="00D62DA9" w:rsidRPr="00AE0F85" w:rsidRDefault="00D62DA9" w:rsidP="00041783">
      <w:pPr>
        <w:pStyle w:val="Heading3"/>
      </w:pPr>
      <w:r w:rsidRPr="00767DBC">
        <w:t xml:space="preserve">§_-12. </w:t>
      </w:r>
      <w:r w:rsidRPr="00AE0F85">
        <w:t>Severability</w:t>
      </w:r>
      <w:r w:rsidRPr="00767DBC">
        <w:t>.</w:t>
      </w:r>
      <w:bookmarkEnd w:id="17"/>
    </w:p>
    <w:p w14:paraId="2083A4D5" w14:textId="77777777" w:rsidR="00D62DA9" w:rsidRPr="00767DBC" w:rsidRDefault="00D62DA9" w:rsidP="00767DBC">
      <w:pPr>
        <w:pStyle w:val="BasicParagraph"/>
      </w:pPr>
      <w:r w:rsidRPr="00767DBC">
        <w:t>If any provision of this chapter, any rule or regulation made under this chapter, or the application of this chapter to any person or circumstance is held invalid by any court of competent jurisdiction, the remainder of the chapter, rule or regulation, and the application of the provision to other persons or circumstances shall not be affected.</w:t>
      </w:r>
    </w:p>
    <w:p w14:paraId="75573EC4" w14:textId="77777777" w:rsidR="00D62DA9" w:rsidRPr="003E3863" w:rsidRDefault="00D62DA9" w:rsidP="00D62DA9">
      <w:pPr>
        <w:autoSpaceDE w:val="0"/>
        <w:autoSpaceDN w:val="0"/>
        <w:adjustRightInd w:val="0"/>
        <w:spacing w:line="240" w:lineRule="auto"/>
        <w:rPr>
          <w:rFonts w:cs="Arial-BoldMT"/>
          <w:bCs/>
          <w:lang w:bidi="en-US"/>
        </w:rPr>
      </w:pPr>
    </w:p>
    <w:p w14:paraId="0DF7EE84" w14:textId="00CB1569" w:rsidR="00D62DA9" w:rsidRDefault="00767DBC" w:rsidP="00E04F34">
      <w:pPr>
        <w:pStyle w:val="commentsbox"/>
      </w:pPr>
      <w:r w:rsidRPr="000831C6">
        <w:rPr>
          <w:b/>
        </w:rPr>
        <w:t>COMMENT:</w:t>
      </w:r>
      <w:r w:rsidRPr="000831C6">
        <w:t xml:space="preserve"> </w:t>
      </w:r>
      <w:r w:rsidR="00D62DA9" w:rsidRPr="00767DBC">
        <w:t>This standard provision allows the remainder of the statute to remain in effect in the event that a court deems one or more parts of the statute to be invalid.</w:t>
      </w:r>
    </w:p>
    <w:p w14:paraId="7B8601FC" w14:textId="77777777" w:rsidR="00D62DA9" w:rsidRPr="003E3863" w:rsidRDefault="00D62DA9" w:rsidP="00D62DA9">
      <w:pPr>
        <w:autoSpaceDE w:val="0"/>
        <w:autoSpaceDN w:val="0"/>
        <w:adjustRightInd w:val="0"/>
        <w:spacing w:line="240" w:lineRule="auto"/>
        <w:rPr>
          <w:rFonts w:cs="Arial-BoldMT"/>
          <w:b/>
          <w:bCs/>
        </w:rPr>
      </w:pPr>
    </w:p>
    <w:p w14:paraId="2F18BC27" w14:textId="7D20287A" w:rsidR="00D62DA9" w:rsidRPr="0095202F" w:rsidRDefault="00D62DA9" w:rsidP="00041783">
      <w:pPr>
        <w:pStyle w:val="Heading3"/>
      </w:pPr>
      <w:bookmarkStart w:id="18" w:name="_Hlk529096651"/>
      <w:r w:rsidRPr="00767DBC">
        <w:t xml:space="preserve">§_-13. Effective </w:t>
      </w:r>
      <w:r w:rsidRPr="00AE0F85">
        <w:t>Date</w:t>
      </w:r>
      <w:r w:rsidRPr="00767DBC">
        <w:t>.</w:t>
      </w:r>
      <w:bookmarkEnd w:id="18"/>
    </w:p>
    <w:p w14:paraId="62F6FF6E" w14:textId="77777777" w:rsidR="00D62DA9" w:rsidRPr="00767DBC" w:rsidRDefault="00D62DA9" w:rsidP="00767DBC">
      <w:pPr>
        <w:pStyle w:val="BasicParagraph"/>
      </w:pPr>
      <w:r w:rsidRPr="00767DBC">
        <w:t>The Complete Streets Act shall take effect on [</w:t>
      </w:r>
      <w:r w:rsidRPr="00081235">
        <w:rPr>
          <w:i/>
        </w:rPr>
        <w:t>insert effective date</w:t>
      </w:r>
      <w:r w:rsidRPr="00767DBC">
        <w:t>], provided that it shall not apply to any Transportation Project for which a preliminary design has been completed on or before [</w:t>
      </w:r>
      <w:r w:rsidRPr="00081235">
        <w:rPr>
          <w:i/>
        </w:rPr>
        <w:t>insert date</w:t>
      </w:r>
      <w:r w:rsidRPr="00767DBC">
        <w:t>].</w:t>
      </w:r>
    </w:p>
    <w:p w14:paraId="38B201F1" w14:textId="77777777" w:rsidR="00D62DA9" w:rsidRPr="00767DBC" w:rsidRDefault="00D62DA9" w:rsidP="00767DBC">
      <w:pPr>
        <w:pStyle w:val="BasicParagraph"/>
      </w:pPr>
      <w:r w:rsidRPr="00767DBC">
        <w:br w:type="page"/>
      </w:r>
    </w:p>
    <w:p w14:paraId="2001525E" w14:textId="77777777" w:rsidR="00D62DA9" w:rsidRPr="0096526B" w:rsidRDefault="00D62DA9" w:rsidP="001C3157">
      <w:pPr>
        <w:pStyle w:val="EndnoteText"/>
        <w:spacing w:after="100"/>
        <w:ind w:left="360" w:hanging="360"/>
      </w:pPr>
      <w:r w:rsidRPr="0096526B">
        <w:lastRenderedPageBreak/>
        <w:fldChar w:fldCharType="begin" w:fldLock="1"/>
      </w:r>
      <w:r w:rsidRPr="0096526B">
        <w:instrText xml:space="preserve">ADDIN Mendeley Bibliography CSL_BIBLIOGRAPHY </w:instrText>
      </w:r>
      <w:r w:rsidRPr="0096526B">
        <w:fldChar w:fldCharType="separate"/>
      </w:r>
      <w:r w:rsidRPr="0096526B">
        <w:rPr>
          <w:rFonts w:eastAsiaTheme="minorHAnsi"/>
        </w:rPr>
        <w:fldChar w:fldCharType="begin" w:fldLock="1"/>
      </w:r>
      <w:r w:rsidRPr="0096526B">
        <w:instrText xml:space="preserve">ADDIN Mendeley Bibliography CSL_BIBLIOGRAPHY </w:instrText>
      </w:r>
      <w:r w:rsidRPr="0096526B">
        <w:rPr>
          <w:rFonts w:eastAsiaTheme="minorHAnsi"/>
        </w:rPr>
        <w:fldChar w:fldCharType="separate"/>
      </w:r>
      <w:r w:rsidRPr="0096526B">
        <w:t xml:space="preserve">1. </w:t>
      </w:r>
      <w:r w:rsidRPr="0096526B">
        <w:tab/>
        <w:t xml:space="preserve">Health Resources in Action. Public Health Impact: Community Speed Reduction. 2013. </w:t>
      </w:r>
      <w:r w:rsidRPr="0096526B">
        <w:rPr>
          <w:i/>
          <w:color w:val="00598D"/>
        </w:rPr>
        <w:t>www.hria.org/uploads/catalogerfiles/2013-speed-reduction-resources/ImpactBrief_120313.pdf</w:t>
      </w:r>
      <w:r w:rsidRPr="0096526B">
        <w:t>. Accessed Nov 14, 2018.</w:t>
      </w:r>
    </w:p>
    <w:p w14:paraId="6DC1B57D" w14:textId="77777777" w:rsidR="00D62DA9" w:rsidRPr="0096526B" w:rsidRDefault="00D62DA9" w:rsidP="001C3157">
      <w:pPr>
        <w:pStyle w:val="EndnoteText"/>
        <w:spacing w:after="100"/>
        <w:ind w:left="360" w:hanging="360"/>
      </w:pPr>
      <w:r w:rsidRPr="0096526B">
        <w:t xml:space="preserve">2. </w:t>
      </w:r>
      <w:r w:rsidRPr="0096526B">
        <w:tab/>
        <w:t xml:space="preserve">New York City Department of Transportation. Making Safer Streets. 2013. </w:t>
      </w:r>
      <w:r w:rsidRPr="0096526B">
        <w:rPr>
          <w:i/>
          <w:color w:val="00598D"/>
        </w:rPr>
        <w:t>www.nyc.gov/html/dot/downloads/pdf/dot-making-safer-streets.pdf</w:t>
      </w:r>
      <w:r w:rsidRPr="0096526B">
        <w:t>. Accessed Nov 14, 2018.</w:t>
      </w:r>
    </w:p>
    <w:p w14:paraId="3B5C7858" w14:textId="77777777" w:rsidR="00D62DA9" w:rsidRPr="0096526B" w:rsidRDefault="00D62DA9" w:rsidP="001C3157">
      <w:pPr>
        <w:pStyle w:val="EndnoteText"/>
        <w:spacing w:after="100"/>
        <w:ind w:left="360" w:hanging="360"/>
      </w:pPr>
      <w:r w:rsidRPr="0096526B">
        <w:t xml:space="preserve">3. </w:t>
      </w:r>
      <w:r w:rsidRPr="0096526B">
        <w:tab/>
        <w:t xml:space="preserve">What Are Complete Streets and Why Should We Build Them? Pedestrian and Bicycle Information Center website. </w:t>
      </w:r>
      <w:r w:rsidRPr="0096526B">
        <w:rPr>
          <w:i/>
          <w:color w:val="00598D"/>
        </w:rPr>
        <w:t>www.pedbikeinfo.org/data/faq_details.cfm?id=3467</w:t>
      </w:r>
      <w:r w:rsidRPr="0096526B">
        <w:t>. Accessed June 5, 2015.</w:t>
      </w:r>
    </w:p>
    <w:p w14:paraId="65818C3A" w14:textId="77777777" w:rsidR="00D62DA9" w:rsidRPr="0096526B" w:rsidRDefault="00D62DA9" w:rsidP="001C3157">
      <w:pPr>
        <w:pStyle w:val="EndnoteText"/>
        <w:spacing w:after="100"/>
        <w:ind w:left="360" w:hanging="360"/>
      </w:pPr>
      <w:r w:rsidRPr="0096526B">
        <w:t xml:space="preserve">4. </w:t>
      </w:r>
      <w:r w:rsidRPr="0096526B">
        <w:tab/>
        <w:t>Rothman L, Macarthur C, To T, Buliung R, Howard A. Motor vehicle-pedestrian collisions and walking to school: the role of the built environment. Pediatrics. 2014;133(5):1–9. doi:10.1542/peds. 2013–2317. Accessed Nov 14, 2018.</w:t>
      </w:r>
    </w:p>
    <w:p w14:paraId="35ED791E" w14:textId="77777777" w:rsidR="00D62DA9" w:rsidRPr="0096526B" w:rsidRDefault="00D62DA9" w:rsidP="001C3157">
      <w:pPr>
        <w:pStyle w:val="EndnoteText"/>
        <w:spacing w:after="100"/>
        <w:ind w:left="360" w:hanging="360"/>
      </w:pPr>
      <w:r w:rsidRPr="0096526B">
        <w:t xml:space="preserve">5. </w:t>
      </w:r>
      <w:r w:rsidRPr="0096526B">
        <w:tab/>
        <w:t xml:space="preserve">Jones SJ, Lyons RA, John A, Palmer SR. Traffic calming policy can reduce inequalities in child pedestrian injuries: database study. </w:t>
      </w:r>
      <w:r w:rsidRPr="0096526B">
        <w:rPr>
          <w:i/>
        </w:rPr>
        <w:t>Inj Prev</w:t>
      </w:r>
      <w:r w:rsidRPr="0096526B">
        <w:t>. 2005;11(3):152–156. doi:10.1136/ip.2004.007252. Accessed Nov 14, 2018.</w:t>
      </w:r>
    </w:p>
    <w:p w14:paraId="724C4AE3" w14:textId="77777777" w:rsidR="00D62DA9" w:rsidRPr="0096526B" w:rsidRDefault="00D62DA9" w:rsidP="001C3157">
      <w:pPr>
        <w:pStyle w:val="EndnoteText"/>
        <w:spacing w:after="100"/>
        <w:ind w:left="360" w:hanging="360"/>
      </w:pPr>
      <w:r w:rsidRPr="0096526B">
        <w:t xml:space="preserve">6. </w:t>
      </w:r>
      <w:r w:rsidRPr="0096526B">
        <w:tab/>
        <w:t xml:space="preserve">Kries RV, Kohne C, Böhm O, Voss HV. Road injuries in school age children: relation to environmental factors amenable to interventions. </w:t>
      </w:r>
      <w:r w:rsidRPr="0096526B">
        <w:rPr>
          <w:i/>
        </w:rPr>
        <w:t>Inj Prev</w:t>
      </w:r>
      <w:r w:rsidRPr="0096526B">
        <w:t>. 1998;4(2):103–105. doi:10.1136/ip.4.2.103. Accessed Nov 14, 2018.</w:t>
      </w:r>
    </w:p>
    <w:p w14:paraId="73E1E23E" w14:textId="77777777" w:rsidR="00D62DA9" w:rsidRPr="0096526B" w:rsidRDefault="00D62DA9" w:rsidP="001C3157">
      <w:pPr>
        <w:pStyle w:val="EndnoteText"/>
        <w:spacing w:after="100"/>
        <w:ind w:left="360" w:hanging="360"/>
      </w:pPr>
      <w:r w:rsidRPr="0096526B">
        <w:t xml:space="preserve">7. </w:t>
      </w:r>
      <w:r w:rsidRPr="0096526B">
        <w:tab/>
        <w:t xml:space="preserve">AARP Livable Communities, Walkable and Livable Communities Institute. Traffic Calming: A Livability Fact Sheet. 2014. </w:t>
      </w:r>
      <w:r w:rsidRPr="0096526B">
        <w:rPr>
          <w:i/>
          <w:color w:val="00598D"/>
        </w:rPr>
        <w:t>www.aarp.org/content/dam/aarp/livable-communities/documents-2014/Livability Fact Sheets/Traffic-Calming-Fact-Sheet.pdf.</w:t>
      </w:r>
      <w:r w:rsidRPr="0096526B">
        <w:t xml:space="preserve"> Accessed Nov 14, 2018.</w:t>
      </w:r>
    </w:p>
    <w:p w14:paraId="3BB1676C" w14:textId="77777777" w:rsidR="00D62DA9" w:rsidRPr="0096526B" w:rsidRDefault="00D62DA9" w:rsidP="001C3157">
      <w:pPr>
        <w:pStyle w:val="EndnoteText"/>
        <w:spacing w:after="100"/>
        <w:ind w:left="360" w:hanging="360"/>
      </w:pPr>
      <w:r w:rsidRPr="0096526B">
        <w:t xml:space="preserve">8. </w:t>
      </w:r>
      <w:r w:rsidRPr="0096526B">
        <w:tab/>
        <w:t xml:space="preserve">National Complete Streets Coalition, Smart Growth America. Complete Streets Help People with Disabilities. </w:t>
      </w:r>
      <w:r w:rsidRPr="0096526B">
        <w:rPr>
          <w:i/>
          <w:color w:val="00598D"/>
        </w:rPr>
        <w:t>www.smartgrowthamerica.org/documents/cs/factsheets/cs-disabilities.pdf.</w:t>
      </w:r>
      <w:r w:rsidRPr="0096526B">
        <w:t xml:space="preserve"> Accessed Nov 14, 2018.</w:t>
      </w:r>
    </w:p>
    <w:p w14:paraId="1FD980AA" w14:textId="77777777" w:rsidR="00D62DA9" w:rsidRPr="0096526B" w:rsidRDefault="00D62DA9" w:rsidP="001C3157">
      <w:pPr>
        <w:pStyle w:val="EndnoteText"/>
        <w:spacing w:after="100"/>
        <w:ind w:left="360" w:hanging="360"/>
      </w:pPr>
      <w:r w:rsidRPr="0096526B">
        <w:t xml:space="preserve">9. </w:t>
      </w:r>
      <w:r w:rsidRPr="0096526B">
        <w:tab/>
        <w:t>Ashmead DH, Guth D, Wall RS, Long RG, Ponchillia PE. Street crossing by sighted and blind pedestrians at a modern roundabout.</w:t>
      </w:r>
      <w:r w:rsidRPr="0096526B">
        <w:rPr>
          <w:i/>
        </w:rPr>
        <w:t xml:space="preserve"> J Transp Eng</w:t>
      </w:r>
      <w:r w:rsidRPr="0096526B">
        <w:t>. 2005;131(11):812–821. doi:10.1061/(ASCE)0733-947X(2005)131:11(812). Accessed Nov 14, 2018.</w:t>
      </w:r>
    </w:p>
    <w:p w14:paraId="7629B8D8" w14:textId="6FCC8FD5" w:rsidR="00D62DA9" w:rsidRPr="0096526B" w:rsidRDefault="00D62DA9" w:rsidP="001C3157">
      <w:pPr>
        <w:pStyle w:val="EndnoteText"/>
        <w:spacing w:after="100"/>
        <w:ind w:left="360" w:hanging="360"/>
      </w:pPr>
      <w:r w:rsidRPr="0096526B">
        <w:t xml:space="preserve">10. </w:t>
      </w:r>
      <w:r w:rsidRPr="0096526B">
        <w:tab/>
        <w:t xml:space="preserve">National Highway Traffic Safety Administration. Traffic Safety Facts 2012 Data. 2014. </w:t>
      </w:r>
      <w:r w:rsidR="001B689A">
        <w:tab/>
      </w:r>
      <w:r w:rsidR="001B689A">
        <w:tab/>
      </w:r>
      <w:r w:rsidR="001B689A">
        <w:tab/>
        <w:t xml:space="preserve">  </w:t>
      </w:r>
      <w:r w:rsidR="00090F12" w:rsidRPr="00090F12">
        <w:rPr>
          <w:i/>
          <w:color w:val="00598D"/>
        </w:rPr>
        <w:t>https://crashstats.nhtsa.dot.gov/Api/Public/ViewPublication/811888</w:t>
      </w:r>
      <w:r w:rsidRPr="0096526B">
        <w:t>. Accessed Nov 14, 2018.</w:t>
      </w:r>
    </w:p>
    <w:p w14:paraId="39A5346D" w14:textId="77777777" w:rsidR="00D62DA9" w:rsidRPr="0096526B" w:rsidRDefault="00D62DA9" w:rsidP="001C3157">
      <w:pPr>
        <w:pStyle w:val="EndnoteText"/>
        <w:spacing w:after="100"/>
        <w:ind w:left="360" w:hanging="360"/>
      </w:pPr>
      <w:r w:rsidRPr="0096526B">
        <w:t xml:space="preserve">11. </w:t>
      </w:r>
      <w:r w:rsidRPr="0096526B">
        <w:tab/>
        <w:t xml:space="preserve">Maciag M. Pedestrians Dying at Disproportionate Rates in America’s Poorer Neighborhoods. GOVERNING Institute website. </w:t>
      </w:r>
      <w:r w:rsidRPr="0096526B">
        <w:rPr>
          <w:i/>
          <w:color w:val="00598D"/>
        </w:rPr>
        <w:t>www.governing.com/topics/public-justice-safety/gov-pedestrian-deaths-analysis.html</w:t>
      </w:r>
      <w:r w:rsidRPr="0096526B">
        <w:t>. Accessed May 6, 2015.</w:t>
      </w:r>
    </w:p>
    <w:p w14:paraId="11D8FA1D" w14:textId="77777777" w:rsidR="00D62DA9" w:rsidRPr="0096526B" w:rsidRDefault="00D62DA9" w:rsidP="001C3157">
      <w:pPr>
        <w:pStyle w:val="EndnoteText"/>
        <w:spacing w:after="100"/>
        <w:ind w:left="360" w:hanging="360"/>
      </w:pPr>
      <w:r w:rsidRPr="0096526B">
        <w:t xml:space="preserve">12. </w:t>
      </w:r>
      <w:r w:rsidRPr="0096526B">
        <w:tab/>
        <w:t xml:space="preserve">National Highway Traffic Safety Administration. Review of Studies on Pedestrian and Bicyclist Safety, 1991–2007. 2012. </w:t>
      </w:r>
      <w:r w:rsidRPr="0096526B">
        <w:rPr>
          <w:i/>
          <w:color w:val="00598D"/>
        </w:rPr>
        <w:t>www.nhtsa.gov/staticfiles/nti/pdf/811614.pdf.</w:t>
      </w:r>
      <w:r w:rsidRPr="0096526B">
        <w:t xml:space="preserve"> Accessed Nov 14, 2018.</w:t>
      </w:r>
    </w:p>
    <w:p w14:paraId="4BFFED12" w14:textId="77777777" w:rsidR="00D62DA9" w:rsidRPr="0096526B" w:rsidRDefault="00D62DA9" w:rsidP="001C3157">
      <w:pPr>
        <w:pStyle w:val="EndnoteText"/>
        <w:spacing w:after="100"/>
        <w:ind w:left="360" w:hanging="360"/>
      </w:pPr>
      <w:r w:rsidRPr="0096526B">
        <w:t xml:space="preserve">13. </w:t>
      </w:r>
      <w:r w:rsidRPr="0096526B">
        <w:tab/>
        <w:t xml:space="preserve">Gibbs K, Slater S, Nicholson N, Barker D, Chaloupka F. BTG Research Brief—Income Disparities in Street Features That Encourage Walking. 2012. </w:t>
      </w:r>
      <w:r w:rsidRPr="0096526B">
        <w:rPr>
          <w:i/>
          <w:color w:val="00598D"/>
        </w:rPr>
        <w:t>www.bridgingthegapresearch.org/_asset/02fpi3/btg_street_walkability_FINAL_03-09-12.pdf</w:t>
      </w:r>
      <w:r w:rsidRPr="0096526B">
        <w:t>. Accessed Nov 14, 2018.</w:t>
      </w:r>
    </w:p>
    <w:p w14:paraId="3436B0C5" w14:textId="77777777" w:rsidR="00D62DA9" w:rsidRPr="0096526B" w:rsidRDefault="00D62DA9" w:rsidP="001C3157">
      <w:pPr>
        <w:pStyle w:val="EndnoteText"/>
        <w:spacing w:after="100"/>
        <w:ind w:left="360" w:hanging="360"/>
      </w:pPr>
      <w:r w:rsidRPr="0096526B">
        <w:t xml:space="preserve">14. </w:t>
      </w:r>
      <w:r w:rsidRPr="0096526B">
        <w:tab/>
        <w:t xml:space="preserve">Greenfield J. Why Don’t the South and West Sides Have a Fair Share of Bike Facilities? Streetsblog Chicago website. 2014. </w:t>
      </w:r>
      <w:r w:rsidRPr="0096526B">
        <w:rPr>
          <w:i/>
          <w:color w:val="00598D"/>
        </w:rPr>
        <w:t>https://chi.streetsblog.org/2014/12/19/advocates-request-a-fair-share-of-bike-resources-for-black-communities/</w:t>
      </w:r>
      <w:r w:rsidRPr="0096526B">
        <w:t>. Accessed June 5, 2015.</w:t>
      </w:r>
    </w:p>
    <w:p w14:paraId="31283841" w14:textId="519BFA2E" w:rsidR="00D62DA9" w:rsidRDefault="00D62DA9" w:rsidP="001C3157">
      <w:pPr>
        <w:pStyle w:val="EndnoteText"/>
        <w:spacing w:after="100"/>
        <w:ind w:left="360" w:hanging="360"/>
      </w:pPr>
      <w:r w:rsidRPr="0096526B">
        <w:t xml:space="preserve">15. </w:t>
      </w:r>
      <w:r w:rsidRPr="0096526B">
        <w:tab/>
        <w:t xml:space="preserve">The League of American Bicyclists, Sierra Club. The New Majority: Pedaling Towards Equity. 2013. </w:t>
      </w:r>
      <w:r w:rsidRPr="0096526B">
        <w:rPr>
          <w:i/>
          <w:color w:val="00598D"/>
        </w:rPr>
        <w:t>www.bikeleague.org/sites/default/files/equity_report.pdf</w:t>
      </w:r>
      <w:r w:rsidRPr="0096526B">
        <w:t>. Accessed Nov 14, 2018.</w:t>
      </w:r>
    </w:p>
    <w:p w14:paraId="67D98BC1" w14:textId="77777777" w:rsidR="001C3157" w:rsidRPr="0096526B" w:rsidRDefault="001C3157" w:rsidP="001C3157">
      <w:pPr>
        <w:pStyle w:val="EndnoteText"/>
        <w:spacing w:after="100"/>
        <w:ind w:left="360" w:hanging="360"/>
      </w:pPr>
    </w:p>
    <w:p w14:paraId="6F02E26A" w14:textId="77777777" w:rsidR="00D62DA9" w:rsidRPr="0096526B" w:rsidRDefault="00D62DA9" w:rsidP="001C3157">
      <w:pPr>
        <w:pStyle w:val="EndnoteText"/>
        <w:spacing w:after="100"/>
        <w:ind w:left="360" w:hanging="360"/>
      </w:pPr>
      <w:r w:rsidRPr="0096526B">
        <w:lastRenderedPageBreak/>
        <w:t xml:space="preserve">16. </w:t>
      </w:r>
      <w:r w:rsidRPr="0096526B">
        <w:tab/>
        <w:t xml:space="preserve">Fecht S. Accident-Zone: Poorer Neighborhoods Have Less-Safe Road Designs. Scientific American website. </w:t>
      </w:r>
      <w:r w:rsidRPr="0096526B">
        <w:rPr>
          <w:i/>
          <w:color w:val="00598D"/>
        </w:rPr>
        <w:t>www.scientificamerican.com/article/accident-zone-poorer-neighborhoods/?print=true</w:t>
      </w:r>
      <w:r w:rsidRPr="0096526B">
        <w:t>. 2012. Accessed June 3, 2015.</w:t>
      </w:r>
    </w:p>
    <w:p w14:paraId="5CB4DD50" w14:textId="77777777" w:rsidR="00D62DA9" w:rsidRPr="0096526B" w:rsidRDefault="00D62DA9" w:rsidP="001C3157">
      <w:pPr>
        <w:pStyle w:val="EndnoteText"/>
        <w:spacing w:after="100"/>
        <w:ind w:left="360" w:hanging="360"/>
      </w:pPr>
      <w:r w:rsidRPr="0096526B">
        <w:t xml:space="preserve">17. </w:t>
      </w:r>
      <w:r w:rsidRPr="0096526B">
        <w:tab/>
        <w:t xml:space="preserve">Morency P, Gauvin L, Plante C, Fournier M, Morency C. Neighborhood social inequalities in road traffic injuries: the influence of traffic volume and road design. </w:t>
      </w:r>
      <w:r w:rsidRPr="0096526B">
        <w:rPr>
          <w:i/>
        </w:rPr>
        <w:t>Am J Public Health</w:t>
      </w:r>
      <w:r w:rsidRPr="0096526B">
        <w:t>. 2012;102(6):1112–1119. doi:10.2105/AJPH.2011.300528. Accessed Nov 14, 2018.</w:t>
      </w:r>
    </w:p>
    <w:p w14:paraId="219B39FB" w14:textId="77777777" w:rsidR="00D62DA9" w:rsidRPr="0096526B" w:rsidRDefault="00D62DA9" w:rsidP="001C3157">
      <w:pPr>
        <w:pStyle w:val="EndnoteText"/>
        <w:spacing w:after="100"/>
        <w:ind w:left="360" w:hanging="360"/>
      </w:pPr>
      <w:r w:rsidRPr="0096526B">
        <w:t xml:space="preserve">18. </w:t>
      </w:r>
      <w:r w:rsidRPr="0096526B">
        <w:tab/>
      </w:r>
      <w:r w:rsidRPr="001C3157">
        <w:rPr>
          <w:spacing w:val="-2"/>
        </w:rPr>
        <w:t xml:space="preserve">New York City Department of Transportation. Protected Bicycle Lanes in NYC. 2014. </w:t>
      </w:r>
      <w:r w:rsidRPr="001C3157">
        <w:rPr>
          <w:i/>
          <w:color w:val="00598D"/>
          <w:spacing w:val="-2"/>
        </w:rPr>
        <w:t>www.nyc.gov/html/dot/downloads/pdf/2014-09-03-bicycle-path-data-analysis.pdf</w:t>
      </w:r>
      <w:r w:rsidRPr="001C3157">
        <w:rPr>
          <w:spacing w:val="-2"/>
        </w:rPr>
        <w:t>. Accessed Nov 14, 2018.</w:t>
      </w:r>
    </w:p>
    <w:p w14:paraId="5B0C0595" w14:textId="77777777" w:rsidR="00D62DA9" w:rsidRPr="0096526B" w:rsidRDefault="00D62DA9" w:rsidP="001C3157">
      <w:pPr>
        <w:pStyle w:val="EndnoteText"/>
        <w:spacing w:after="100"/>
        <w:ind w:left="360" w:hanging="360"/>
      </w:pPr>
      <w:r w:rsidRPr="0096526B">
        <w:t xml:space="preserve">19. </w:t>
      </w:r>
      <w:r w:rsidRPr="0096526B">
        <w:tab/>
        <w:t xml:space="preserve">Andersen M. Car Users Would Prefer Separated Bike Lanes Too, Study Finds. People for Bikes website. </w:t>
      </w:r>
      <w:r w:rsidRPr="0096526B">
        <w:rPr>
          <w:i/>
          <w:color w:val="00598D"/>
        </w:rPr>
        <w:t>www.peopleforbikes.org/blog/entry/car-users-would-prefer-separated-bike-lanes-too-study-finds</w:t>
      </w:r>
      <w:r w:rsidRPr="0096526B">
        <w:t>. Accessed June 3, 2015.</w:t>
      </w:r>
    </w:p>
    <w:p w14:paraId="773F1631" w14:textId="77777777" w:rsidR="00D62DA9" w:rsidRPr="0096526B" w:rsidRDefault="00D62DA9" w:rsidP="001C3157">
      <w:pPr>
        <w:pStyle w:val="EndnoteText"/>
        <w:spacing w:after="100"/>
        <w:ind w:left="360" w:hanging="360"/>
      </w:pPr>
      <w:r w:rsidRPr="0096526B">
        <w:t xml:space="preserve">20. </w:t>
      </w:r>
      <w:r w:rsidRPr="0096526B">
        <w:tab/>
        <w:t xml:space="preserve">National Complete Streets Coalition, Local Government Commission. It’s a Safe Decision: Complete Streets in California. 2012. </w:t>
      </w:r>
      <w:r w:rsidRPr="0096526B">
        <w:rPr>
          <w:i/>
          <w:color w:val="00598D"/>
        </w:rPr>
        <w:t>www.smartgrowthamerica.org/documents/cs/resources/cs-in-california.pdf</w:t>
      </w:r>
      <w:r w:rsidRPr="0096526B">
        <w:t>. Accessed Nov 14, 2018.</w:t>
      </w:r>
    </w:p>
    <w:p w14:paraId="4A4359AD" w14:textId="77777777" w:rsidR="00D62DA9" w:rsidRPr="0096526B" w:rsidRDefault="00D62DA9" w:rsidP="001C3157">
      <w:pPr>
        <w:pStyle w:val="EndnoteText"/>
        <w:spacing w:after="100"/>
        <w:ind w:left="360" w:hanging="360"/>
      </w:pPr>
      <w:r w:rsidRPr="0096526B">
        <w:t xml:space="preserve">21. </w:t>
      </w:r>
      <w:r w:rsidRPr="0096526B">
        <w:tab/>
        <w:t xml:space="preserve">Teschke K, Harris MA, Reynolds C, et al. Route infrastructure and the risk of injuries to bicyclists: a case-crossover study. </w:t>
      </w:r>
      <w:r w:rsidRPr="0096526B">
        <w:rPr>
          <w:i/>
        </w:rPr>
        <w:t>Am J Public Health</w:t>
      </w:r>
      <w:r w:rsidRPr="0096526B">
        <w:t>. 2012;102(12):2336–2343. doi:10.2105/AJPH.2012.300762. Accessed Nov 14, 2018.</w:t>
      </w:r>
    </w:p>
    <w:p w14:paraId="14D40FB3" w14:textId="77777777" w:rsidR="00D62DA9" w:rsidRPr="0096526B" w:rsidRDefault="00D62DA9" w:rsidP="001C3157">
      <w:pPr>
        <w:pStyle w:val="EndnoteText"/>
        <w:spacing w:after="100"/>
        <w:ind w:left="360" w:hanging="360"/>
      </w:pPr>
      <w:r w:rsidRPr="0096526B">
        <w:t xml:space="preserve">22. </w:t>
      </w:r>
      <w:r w:rsidRPr="0096526B">
        <w:tab/>
        <w:t xml:space="preserve">New York City Department of Transportation. Measuring the Street: New Metrics for 21st Century Streets. 2012. </w:t>
      </w:r>
      <w:r w:rsidRPr="0096526B">
        <w:rPr>
          <w:i/>
          <w:color w:val="00598D"/>
        </w:rPr>
        <w:t>www.nyc.gov/html/dot/downloads/pdf/2012-10-measuring-the-street.pdf</w:t>
      </w:r>
      <w:r w:rsidRPr="0096526B">
        <w:t>. Accessed Nov 14, 2018.</w:t>
      </w:r>
    </w:p>
    <w:p w14:paraId="266B154E" w14:textId="77777777" w:rsidR="00D62DA9" w:rsidRPr="0096526B" w:rsidRDefault="00D62DA9" w:rsidP="001C3157">
      <w:pPr>
        <w:pStyle w:val="EndnoteText"/>
        <w:spacing w:after="100"/>
        <w:ind w:left="360" w:hanging="360"/>
      </w:pPr>
      <w:r w:rsidRPr="0096526B">
        <w:t xml:space="preserve">23. </w:t>
      </w:r>
      <w:r w:rsidRPr="0096526B">
        <w:tab/>
        <w:t xml:space="preserve">National Complete Streets Coalition, Smart Growth America. Complete Streets Improve Safety. 2009. </w:t>
      </w:r>
      <w:r w:rsidRPr="0096526B">
        <w:rPr>
          <w:i/>
          <w:color w:val="00598D"/>
        </w:rPr>
        <w:t>www.smartgrowthamerica.org/documents/cs/factsheets/cs-safety.pdf</w:t>
      </w:r>
      <w:r w:rsidRPr="0096526B">
        <w:t>. Accessed Nov 14, 2018.</w:t>
      </w:r>
    </w:p>
    <w:p w14:paraId="751D0B8D" w14:textId="77777777" w:rsidR="00D62DA9" w:rsidRPr="0096526B" w:rsidRDefault="00D62DA9" w:rsidP="001C3157">
      <w:pPr>
        <w:pStyle w:val="EndnoteText"/>
        <w:spacing w:after="100"/>
        <w:ind w:left="360" w:hanging="360"/>
      </w:pPr>
      <w:r w:rsidRPr="0096526B">
        <w:t xml:space="preserve">24. </w:t>
      </w:r>
      <w:r w:rsidRPr="0096526B">
        <w:tab/>
        <w:t xml:space="preserve">Reynolds C, Harris MA, Teschke K, Cripton P, Winters M. The impact of transportation infrastructure on bicycling injuries and crashes: a review of the literature. </w:t>
      </w:r>
      <w:r w:rsidRPr="0096526B">
        <w:rPr>
          <w:i/>
        </w:rPr>
        <w:t>Environ Heal</w:t>
      </w:r>
      <w:r w:rsidRPr="0096526B">
        <w:t>. 2009;8(47):1–19. doi:10.1186/1476-069X-8-47. Accessed Nov 14, 2018.</w:t>
      </w:r>
    </w:p>
    <w:p w14:paraId="76512598" w14:textId="77777777" w:rsidR="00D62DA9" w:rsidRPr="0096526B" w:rsidRDefault="00D62DA9" w:rsidP="001C3157">
      <w:pPr>
        <w:pStyle w:val="EndnoteText"/>
        <w:spacing w:after="100"/>
        <w:ind w:left="360" w:hanging="360"/>
      </w:pPr>
      <w:r w:rsidRPr="0096526B">
        <w:t xml:space="preserve">25. </w:t>
      </w:r>
      <w:r w:rsidRPr="0096526B">
        <w:tab/>
        <w:t>Winters M, Brauer M, Setton EM, Teschke K. Built environment influences on healthy transportation choices: bicycling versus driving.</w:t>
      </w:r>
      <w:r w:rsidRPr="0096526B">
        <w:rPr>
          <w:i/>
        </w:rPr>
        <w:t xml:space="preserve"> J Urban Heal</w:t>
      </w:r>
      <w:r w:rsidRPr="0096526B">
        <w:t>. 2010;87(6):969–993. doi:10.1007/s11524-010-9509-6. Accessed Nov 14, 2018.</w:t>
      </w:r>
    </w:p>
    <w:p w14:paraId="221C1E59" w14:textId="77777777" w:rsidR="00D62DA9" w:rsidRPr="0096526B" w:rsidRDefault="00D62DA9" w:rsidP="001C3157">
      <w:pPr>
        <w:pStyle w:val="EndnoteText"/>
        <w:spacing w:after="100"/>
        <w:ind w:left="360" w:hanging="360"/>
      </w:pPr>
      <w:r w:rsidRPr="0096526B">
        <w:t xml:space="preserve">26. </w:t>
      </w:r>
      <w:r w:rsidRPr="0096526B">
        <w:tab/>
        <w:t xml:space="preserve">Morrison DS, Thomson H, Petticrew M. Evaluation of the health effects of a neighbourhood traffic calming scheme. </w:t>
      </w:r>
      <w:r w:rsidRPr="0096526B">
        <w:rPr>
          <w:i/>
        </w:rPr>
        <w:t>J Epidemiol Community Heal</w:t>
      </w:r>
      <w:r w:rsidRPr="0096526B">
        <w:t>. 2004;58(10):837–840. doi:10.1136/jech.2003.017509. Accessed Nov 14, 2018.</w:t>
      </w:r>
    </w:p>
    <w:p w14:paraId="2BC505FD" w14:textId="77777777" w:rsidR="00D62DA9" w:rsidRPr="0096526B" w:rsidRDefault="00D62DA9" w:rsidP="001C3157">
      <w:pPr>
        <w:pStyle w:val="EndnoteText"/>
        <w:spacing w:after="100"/>
        <w:ind w:left="360" w:hanging="360"/>
      </w:pPr>
      <w:r w:rsidRPr="0096526B">
        <w:t xml:space="preserve">27. </w:t>
      </w:r>
      <w:r w:rsidRPr="0096526B">
        <w:tab/>
        <w:t xml:space="preserve">National Complete Streets Coalition, Smart Growth America. </w:t>
      </w:r>
      <w:r w:rsidRPr="0096526B">
        <w:rPr>
          <w:i/>
        </w:rPr>
        <w:t>Complete Streets Change Travel Patterns</w:t>
      </w:r>
      <w:r w:rsidRPr="0096526B">
        <w:t xml:space="preserve">. Washington, DC. </w:t>
      </w:r>
      <w:r w:rsidRPr="0096526B">
        <w:rPr>
          <w:i/>
          <w:color w:val="00598D"/>
        </w:rPr>
        <w:t>www.smartgrowthamerica.org/app/legacy/documents/cs/factsheets/cs-modeshift.pdf</w:t>
      </w:r>
      <w:r w:rsidRPr="0096526B">
        <w:t>. Accessed Nov 14, 2018.</w:t>
      </w:r>
    </w:p>
    <w:p w14:paraId="40838397" w14:textId="77777777" w:rsidR="00D62DA9" w:rsidRPr="0096526B" w:rsidRDefault="00D62DA9" w:rsidP="001C3157">
      <w:pPr>
        <w:pStyle w:val="EndnoteText"/>
        <w:spacing w:after="100"/>
        <w:ind w:left="360" w:hanging="360"/>
      </w:pPr>
      <w:r w:rsidRPr="0096526B">
        <w:t xml:space="preserve">28. </w:t>
      </w:r>
      <w:r w:rsidRPr="0096526B">
        <w:tab/>
        <w:t xml:space="preserve">Szczepanski C. Cities and Businesses Discover That Cycling Pays. Urbanful website. 2015. </w:t>
      </w:r>
      <w:r w:rsidRPr="0096526B">
        <w:rPr>
          <w:i/>
          <w:color w:val="00598D"/>
        </w:rPr>
        <w:t>https://medium.com/@Urbanful/cities-and-businesses-discover-that-cycling-pays-1bb278ad7884</w:t>
      </w:r>
      <w:r w:rsidRPr="0096526B">
        <w:t>. Accessed May 6, 2015.</w:t>
      </w:r>
    </w:p>
    <w:p w14:paraId="105C190A" w14:textId="77777777" w:rsidR="00D62DA9" w:rsidRPr="0096526B" w:rsidRDefault="00D62DA9" w:rsidP="001C3157">
      <w:pPr>
        <w:pStyle w:val="EndnoteText"/>
        <w:spacing w:after="100"/>
        <w:ind w:left="360" w:hanging="360"/>
      </w:pPr>
      <w:r w:rsidRPr="0096526B">
        <w:t xml:space="preserve">29. </w:t>
      </w:r>
      <w:r w:rsidRPr="0096526B">
        <w:tab/>
        <w:t xml:space="preserve">National Complete Streets Coalition, Smart Growth America. Safer Streets, Stronger Economies: Complete Streets Project Outcomes from across the Country. 2015. </w:t>
      </w:r>
      <w:r w:rsidRPr="0096526B">
        <w:rPr>
          <w:i/>
          <w:color w:val="00598D"/>
        </w:rPr>
        <w:t>www.smartgrowthamerica.org/documents/safer-streets-stronger-economies.pdf</w:t>
      </w:r>
      <w:r w:rsidRPr="0096526B">
        <w:t>. Accessed Nov 14, 2018.</w:t>
      </w:r>
    </w:p>
    <w:p w14:paraId="38395EAA" w14:textId="77777777" w:rsidR="00D62DA9" w:rsidRPr="0096526B" w:rsidRDefault="00D62DA9" w:rsidP="001C3157">
      <w:pPr>
        <w:pStyle w:val="EndnoteText"/>
        <w:spacing w:after="100"/>
        <w:ind w:left="360" w:hanging="360"/>
      </w:pPr>
      <w:r w:rsidRPr="0096526B">
        <w:t xml:space="preserve">30. </w:t>
      </w:r>
      <w:r w:rsidRPr="0096526B">
        <w:tab/>
        <w:t xml:space="preserve">New York City Department of Transporation. The Economic Benefits of Sustainable Streets. New York, NY; 2013. </w:t>
      </w:r>
      <w:r w:rsidRPr="0096526B">
        <w:rPr>
          <w:i/>
          <w:color w:val="00598D"/>
        </w:rPr>
        <w:t>www.nyc.gov/html/dot/downloads/pdf/dot-economic-benefits-of-sustainable-streets.pdf</w:t>
      </w:r>
      <w:r w:rsidRPr="0096526B">
        <w:t>. Accessed Nov 14, 2018.</w:t>
      </w:r>
    </w:p>
    <w:p w14:paraId="0BF164EC" w14:textId="77777777" w:rsidR="00D62DA9" w:rsidRPr="0096526B" w:rsidRDefault="00D62DA9" w:rsidP="001C3157">
      <w:pPr>
        <w:pStyle w:val="EndnoteText"/>
        <w:spacing w:after="100"/>
        <w:ind w:left="360" w:hanging="360"/>
      </w:pPr>
      <w:r w:rsidRPr="0096526B">
        <w:lastRenderedPageBreak/>
        <w:t xml:space="preserve">31. </w:t>
      </w:r>
      <w:r w:rsidRPr="0096526B">
        <w:tab/>
        <w:t xml:space="preserve">Cortright J. Walking the Walk: How Walkability Raises Home Values in U.S. Cities. 2009. </w:t>
      </w:r>
      <w:r w:rsidRPr="0096526B">
        <w:rPr>
          <w:i/>
          <w:color w:val="00598D"/>
        </w:rPr>
        <w:t>www.reconnectingamerica.org/assets/Uploads/2009WalkingTheWalkCEOsforCities.pdf</w:t>
      </w:r>
      <w:r w:rsidRPr="0096526B">
        <w:t>. Accessed Nov 14, 2018.</w:t>
      </w:r>
    </w:p>
    <w:p w14:paraId="46B957F3" w14:textId="77777777" w:rsidR="00D62DA9" w:rsidRPr="0096526B" w:rsidRDefault="00D62DA9" w:rsidP="001C3157">
      <w:pPr>
        <w:pStyle w:val="EndnoteText"/>
        <w:spacing w:after="100"/>
        <w:ind w:left="360" w:hanging="360"/>
      </w:pPr>
      <w:r w:rsidRPr="0096526B">
        <w:t xml:space="preserve">32. </w:t>
      </w:r>
      <w:r w:rsidRPr="0096526B">
        <w:tab/>
      </w:r>
      <w:r w:rsidRPr="001C3157">
        <w:rPr>
          <w:spacing w:val="-4"/>
        </w:rPr>
        <w:t xml:space="preserve">National Complete Streets Coalition, Smart Growth America. Complete Streets Stimulate the Local Economy. </w:t>
      </w:r>
      <w:r w:rsidRPr="001C3157">
        <w:rPr>
          <w:i/>
          <w:color w:val="00598D"/>
          <w:spacing w:val="-4"/>
        </w:rPr>
        <w:t>www.smartgrowthamerica.org/documents/cs/factsheets/cs-economic.pdf</w:t>
      </w:r>
      <w:r w:rsidRPr="001C3157">
        <w:rPr>
          <w:spacing w:val="-4"/>
        </w:rPr>
        <w:t>. Accessed Nov 14, 2018.</w:t>
      </w:r>
    </w:p>
    <w:p w14:paraId="4F6FD12E" w14:textId="77777777" w:rsidR="00D62DA9" w:rsidRPr="0096526B" w:rsidRDefault="00D62DA9" w:rsidP="001C3157">
      <w:pPr>
        <w:pStyle w:val="EndnoteText"/>
        <w:spacing w:after="100"/>
        <w:ind w:left="360" w:hanging="360"/>
      </w:pPr>
      <w:r w:rsidRPr="0096526B">
        <w:t xml:space="preserve">33. </w:t>
      </w:r>
      <w:r w:rsidRPr="0096526B">
        <w:tab/>
        <w:t xml:space="preserve">AARP Public Policy Institute. What Is Livable? Community Preferences of Older Adults. 2014. </w:t>
      </w:r>
      <w:r w:rsidRPr="0096526B">
        <w:rPr>
          <w:i/>
          <w:color w:val="00598D"/>
        </w:rPr>
        <w:t>www.aarp.org/content/dam/aarp/research/public_policy_institute/liv_com/2014/what-is-livable-report-AARP-ppi-liv-com.pdf</w:t>
      </w:r>
      <w:r w:rsidRPr="0096526B">
        <w:t>. Accessed Nov 14, 2018.</w:t>
      </w:r>
    </w:p>
    <w:p w14:paraId="0FB8ABA1" w14:textId="77777777" w:rsidR="00D62DA9" w:rsidRPr="0096526B" w:rsidRDefault="00D62DA9" w:rsidP="001C3157">
      <w:pPr>
        <w:pStyle w:val="EndnoteText"/>
        <w:spacing w:after="100"/>
        <w:ind w:left="360" w:hanging="360"/>
      </w:pPr>
      <w:r w:rsidRPr="0096526B">
        <w:t xml:space="preserve">34. </w:t>
      </w:r>
      <w:r w:rsidRPr="0096526B">
        <w:tab/>
        <w:t xml:space="preserve">Victoria Transportation Policy Institute. Evaluating Complete Streets: The Value of Designing Roads For Diverse Modes, Users and Activities. 2014. </w:t>
      </w:r>
      <w:r w:rsidRPr="0096526B">
        <w:rPr>
          <w:i/>
          <w:color w:val="00598D"/>
        </w:rPr>
        <w:t>www.vtpi.org/compstr.pdf</w:t>
      </w:r>
      <w:r w:rsidRPr="0096526B">
        <w:t>. Accessed Nov 14, 2018.</w:t>
      </w:r>
    </w:p>
    <w:p w14:paraId="3A9CF1C4" w14:textId="77777777" w:rsidR="00D62DA9" w:rsidRPr="0096526B" w:rsidRDefault="00D62DA9" w:rsidP="001C3157">
      <w:pPr>
        <w:pStyle w:val="EndnoteText"/>
        <w:spacing w:after="100"/>
        <w:ind w:left="360" w:hanging="360"/>
      </w:pPr>
      <w:r w:rsidRPr="0096526B">
        <w:t xml:space="preserve">35. </w:t>
      </w:r>
      <w:r w:rsidRPr="0096526B">
        <w:tab/>
        <w:t xml:space="preserve">National Association of Regional Councils, Federal Highway Administration. Livability Literature Review: A Synthesis of Current Practice. 2012. </w:t>
      </w:r>
      <w:r w:rsidRPr="0096526B">
        <w:rPr>
          <w:i/>
          <w:color w:val="00598D"/>
        </w:rPr>
        <w:t>http://narc.org/wp-content/uploads/Livability-Report-FINAL.pdf</w:t>
      </w:r>
      <w:r w:rsidRPr="0096526B">
        <w:t>. Accessed Nov 14, 2018.</w:t>
      </w:r>
    </w:p>
    <w:p w14:paraId="31F3C179" w14:textId="77777777" w:rsidR="00D62DA9" w:rsidRPr="0096526B" w:rsidRDefault="00D62DA9" w:rsidP="001C3157">
      <w:pPr>
        <w:pStyle w:val="EndnoteText"/>
        <w:spacing w:after="100"/>
        <w:ind w:left="360" w:hanging="360"/>
      </w:pPr>
      <w:r w:rsidRPr="0096526B">
        <w:t xml:space="preserve">36. </w:t>
      </w:r>
      <w:r w:rsidRPr="0096526B">
        <w:tab/>
        <w:t xml:space="preserve">Victoria Transportation Policy Institute. Evaluating Active Transportation Benefits and Costs. 2015. </w:t>
      </w:r>
      <w:r w:rsidRPr="0096526B">
        <w:rPr>
          <w:i/>
          <w:color w:val="00598D"/>
        </w:rPr>
        <w:t>www.vtpi.org/nmt-tdm.pdf</w:t>
      </w:r>
      <w:r w:rsidRPr="0096526B">
        <w:t>. Accessed Nov 14, 2018.</w:t>
      </w:r>
    </w:p>
    <w:p w14:paraId="6F520D8E" w14:textId="77777777" w:rsidR="00D62DA9" w:rsidRPr="0096526B" w:rsidRDefault="00D62DA9" w:rsidP="001C3157">
      <w:pPr>
        <w:pStyle w:val="EndnoteText"/>
        <w:spacing w:after="100"/>
        <w:ind w:left="360" w:hanging="360"/>
      </w:pPr>
      <w:r w:rsidRPr="0096526B">
        <w:t xml:space="preserve">37. </w:t>
      </w:r>
      <w:r w:rsidRPr="0096526B">
        <w:tab/>
        <w:t xml:space="preserve">Grabow ML, Spak SN, Holloway T, Stone Jr. B, Mednick AC, Patz JA. Air quality and exercise-related health benefits from reduced car travel in the midwestern United States. </w:t>
      </w:r>
      <w:r w:rsidRPr="0096526B">
        <w:rPr>
          <w:i/>
        </w:rPr>
        <w:t>Environ Health Perspect.</w:t>
      </w:r>
      <w:r w:rsidRPr="0096526B">
        <w:t xml:space="preserve"> 2012;120(1):68–76. doi:10.1289/ehp.1103440. Accessed Nov 14, 2018.</w:t>
      </w:r>
    </w:p>
    <w:p w14:paraId="39DEEF2E" w14:textId="77777777" w:rsidR="00D62DA9" w:rsidRPr="0096526B" w:rsidRDefault="00D62DA9" w:rsidP="001C3157">
      <w:pPr>
        <w:pStyle w:val="EndnoteText"/>
        <w:spacing w:after="100"/>
        <w:ind w:left="360" w:hanging="360"/>
      </w:pPr>
      <w:r w:rsidRPr="0096526B">
        <w:t xml:space="preserve">38. </w:t>
      </w:r>
      <w:r w:rsidRPr="0096526B">
        <w:tab/>
        <w:t xml:space="preserve">California Air Resources Board, California Environmental Protection Agency. Bicycle Fact Sheet. 2015. </w:t>
      </w:r>
      <w:r w:rsidRPr="0096526B">
        <w:rPr>
          <w:i/>
          <w:color w:val="00598D"/>
        </w:rPr>
        <w:t>www.arb.ca.gov/planning/tsaq/bicycle/factsht.htm</w:t>
      </w:r>
      <w:r w:rsidRPr="0096526B">
        <w:t>. Accessed Nov 14, 2018.</w:t>
      </w:r>
    </w:p>
    <w:p w14:paraId="388A9572" w14:textId="63AB5F3B" w:rsidR="00D62DA9" w:rsidRPr="0096526B" w:rsidRDefault="00D62DA9" w:rsidP="001C3157">
      <w:pPr>
        <w:pStyle w:val="EndnoteText"/>
        <w:spacing w:after="100"/>
        <w:ind w:left="360" w:hanging="360"/>
      </w:pPr>
      <w:r w:rsidRPr="0096526B">
        <w:t xml:space="preserve">39. </w:t>
      </w:r>
      <w:r w:rsidRPr="0096526B">
        <w:tab/>
        <w:t xml:space="preserve">Alliance for Biking and Walking. Bicycling and Walking in the United States: 2016 Benchmarking Report. 2016. </w:t>
      </w:r>
      <w:r w:rsidRPr="0096526B">
        <w:rPr>
          <w:i/>
          <w:color w:val="00598D"/>
        </w:rPr>
        <w:t>www.aarp.org/content/dam/aarp/livable-communities/documents-2016/2016-WalkingBicyclingBenchmarkingReport.pdf</w:t>
      </w:r>
      <w:r w:rsidRPr="0096526B">
        <w:t>. Accessed Nov 14, 2018.</w:t>
      </w:r>
    </w:p>
    <w:p w14:paraId="3794192C" w14:textId="77777777" w:rsidR="00D62DA9" w:rsidRPr="0096526B" w:rsidRDefault="00D62DA9" w:rsidP="001C3157">
      <w:pPr>
        <w:pStyle w:val="EndnoteText"/>
        <w:spacing w:after="100"/>
        <w:ind w:left="360" w:hanging="360"/>
      </w:pPr>
      <w:r w:rsidRPr="0096526B">
        <w:t xml:space="preserve">40. </w:t>
      </w:r>
      <w:r w:rsidRPr="0096526B">
        <w:tab/>
        <w:t>National Complete Streets Coalition, Smart Growth America. Complete Streets Promote Good Health. 2004.</w:t>
      </w:r>
      <w:r w:rsidRPr="0096526B">
        <w:rPr>
          <w:i/>
          <w:color w:val="00598D"/>
        </w:rPr>
        <w:t xml:space="preserve"> www.smartgrowthamerica.org/documents/cs/factsheets/cs-health.pdf</w:t>
      </w:r>
      <w:r w:rsidRPr="0096526B">
        <w:t>. Accessed Nov 14, 2018.</w:t>
      </w:r>
    </w:p>
    <w:p w14:paraId="47966FE5" w14:textId="77777777" w:rsidR="00D62DA9" w:rsidRPr="0096526B" w:rsidRDefault="00D62DA9" w:rsidP="001C3157">
      <w:pPr>
        <w:pStyle w:val="EndnoteText"/>
        <w:spacing w:after="100"/>
        <w:ind w:left="360" w:hanging="360"/>
      </w:pPr>
      <w:r w:rsidRPr="0096526B">
        <w:t xml:space="preserve">41. </w:t>
      </w:r>
      <w:r w:rsidRPr="0096526B">
        <w:tab/>
        <w:t xml:space="preserve">Physical Activity Basics. Centers for Disease Control and Prevention website. 2015. </w:t>
      </w:r>
      <w:r w:rsidRPr="0096526B">
        <w:rPr>
          <w:i/>
          <w:color w:val="00598D"/>
        </w:rPr>
        <w:t>www.cdc.gov/physicalactivity/everyone/health/index.html?s_cid=cs_284</w:t>
      </w:r>
      <w:r w:rsidRPr="0096526B">
        <w:t>. Accessed Nov 14, 2018.</w:t>
      </w:r>
    </w:p>
    <w:p w14:paraId="714F85E5" w14:textId="77777777" w:rsidR="00D62DA9" w:rsidRPr="0096526B" w:rsidRDefault="00D62DA9" w:rsidP="001C3157">
      <w:pPr>
        <w:pStyle w:val="EndnoteText"/>
        <w:spacing w:after="100"/>
        <w:ind w:left="360" w:hanging="360"/>
      </w:pPr>
      <w:r w:rsidRPr="0096526B">
        <w:t xml:space="preserve">42. </w:t>
      </w:r>
      <w:r w:rsidRPr="0096526B">
        <w:tab/>
        <w:t xml:space="preserve">Ashmead DH, Guth D, Wall RS, Long RG, Ponchillia PE. Street Crossing by Sighted and Blind Pedestrians at a Modern Roundabout. </w:t>
      </w:r>
      <w:r w:rsidRPr="0096526B">
        <w:rPr>
          <w:i/>
        </w:rPr>
        <w:t>Journal of Transportation Engineering</w:t>
      </w:r>
      <w:r w:rsidRPr="0096526B">
        <w:t>. 2005;131(11):812–821. doi:10.1061/(asce)0733-947x(2005)131:11(812). Accessed Nov 14, 2018.</w:t>
      </w:r>
    </w:p>
    <w:p w14:paraId="12D09D01" w14:textId="7B33AFF4" w:rsidR="00D62DA9" w:rsidRPr="0096526B" w:rsidRDefault="00D62DA9" w:rsidP="001C3157">
      <w:pPr>
        <w:pStyle w:val="EndnoteText"/>
        <w:spacing w:after="100"/>
        <w:ind w:left="360" w:hanging="360"/>
      </w:pPr>
      <w:r w:rsidRPr="0096526B">
        <w:t xml:space="preserve">43. </w:t>
      </w:r>
      <w:r w:rsidRPr="0096526B">
        <w:tab/>
        <w:t>ChangeLab Solutions. Getting the Wheels Rolling: A Guide to Using Policy to Create Bicycle Friendly Communities. 2013.</w:t>
      </w:r>
      <w:r w:rsidR="001C3157">
        <w:t xml:space="preserve"> </w:t>
      </w:r>
      <w:r w:rsidRPr="0096526B">
        <w:rPr>
          <w:i/>
          <w:color w:val="00598D"/>
        </w:rPr>
        <w:t>www.changelabsolutions.org</w:t>
      </w:r>
      <w:r w:rsidR="00615CCA">
        <w:rPr>
          <w:i/>
          <w:color w:val="00598D"/>
        </w:rPr>
        <w:t>/</w:t>
      </w:r>
      <w:r w:rsidR="0052422F">
        <w:rPr>
          <w:i/>
          <w:color w:val="00598D"/>
        </w:rPr>
        <w:t>bike-policies</w:t>
      </w:r>
      <w:r w:rsidRPr="0096526B">
        <w:t>. Accessed Nov 14, 2018.</w:t>
      </w:r>
    </w:p>
    <w:p w14:paraId="6823D7BF" w14:textId="77777777" w:rsidR="00D62DA9" w:rsidRPr="0096526B" w:rsidRDefault="00D62DA9" w:rsidP="001C3157">
      <w:pPr>
        <w:pStyle w:val="EndnoteText"/>
        <w:spacing w:after="100"/>
        <w:ind w:left="360" w:hanging="360"/>
      </w:pPr>
      <w:r w:rsidRPr="0096526B">
        <w:t xml:space="preserve">44. </w:t>
      </w:r>
      <w:r w:rsidRPr="0096526B">
        <w:tab/>
        <w:t>Lee I-M, Shiroma EJ, Lobelo F, Puska P, Blair SN, Katzmarzyk PT. Impact of physical inactivity on the world’s major non-communicable diseases. Lancet. 2012;380(9838):219–229. doi:10.1016/S0140-6736(12)61031-9. Accessed Nov 14, 2018.</w:t>
      </w:r>
    </w:p>
    <w:p w14:paraId="4218B6EB" w14:textId="77777777" w:rsidR="00D62DA9" w:rsidRPr="0096526B" w:rsidRDefault="00D62DA9" w:rsidP="001C3157">
      <w:pPr>
        <w:pStyle w:val="EndnoteText"/>
        <w:spacing w:after="100"/>
        <w:ind w:left="360" w:hanging="360"/>
      </w:pPr>
      <w:r w:rsidRPr="0096526B">
        <w:t xml:space="preserve">45. </w:t>
      </w:r>
      <w:r w:rsidRPr="0096526B">
        <w:tab/>
        <w:t>Nemours Health &amp; Prevention Services.</w:t>
      </w:r>
      <w:r w:rsidRPr="0096526B">
        <w:rPr>
          <w:i/>
        </w:rPr>
        <w:t xml:space="preserve"> Counties and Municipalities in Delaware Can Develop Complete Streets to Combat Childhood Obesity.</w:t>
      </w:r>
      <w:r w:rsidRPr="0096526B">
        <w:t xml:space="preserve"> Newark, DE; 2009. </w:t>
      </w:r>
      <w:r w:rsidRPr="0096526B">
        <w:rPr>
          <w:i/>
          <w:color w:val="00598D"/>
          <w:spacing w:val="-2"/>
        </w:rPr>
        <w:t>www.nemours.org/content/dam/nemours/www/filebox/service/preventive/nhps/policybrief/compstreets.pdf.</w:t>
      </w:r>
      <w:r w:rsidRPr="0096526B">
        <w:t xml:space="preserve"> Accessed Nov 14, 2018.</w:t>
      </w:r>
    </w:p>
    <w:p w14:paraId="492E2ADD" w14:textId="77777777" w:rsidR="00D62DA9" w:rsidRPr="003E3863" w:rsidRDefault="00D62DA9" w:rsidP="001C3157">
      <w:pPr>
        <w:pStyle w:val="EndnoteText"/>
        <w:spacing w:after="100"/>
      </w:pPr>
      <w:r w:rsidRPr="0096526B">
        <w:fldChar w:fldCharType="end"/>
      </w:r>
      <w:r w:rsidRPr="0096526B">
        <w:fldChar w:fldCharType="end"/>
      </w:r>
      <w:r w:rsidRPr="003E3863">
        <w:t xml:space="preserve"> </w:t>
      </w:r>
    </w:p>
    <w:p w14:paraId="427C7605" w14:textId="15BB6846" w:rsidR="003575F4" w:rsidRPr="007B395B" w:rsidRDefault="003575F4" w:rsidP="003575F4">
      <w:pPr>
        <w:spacing w:line="240" w:lineRule="auto"/>
        <w:rPr>
          <w:color w:val="FFFFFF"/>
          <w:sz w:val="2"/>
        </w:rPr>
      </w:pPr>
    </w:p>
    <w:sectPr w:rsidR="003575F4" w:rsidRPr="007B395B" w:rsidSect="003575F4">
      <w:headerReference w:type="default" r:id="rId13"/>
      <w:footerReference w:type="default" r:id="rId14"/>
      <w:headerReference w:type="first" r:id="rId15"/>
      <w:footerReference w:type="first" r:id="rId16"/>
      <w:type w:val="continuous"/>
      <w:pgSz w:w="12240" w:h="15840" w:code="1"/>
      <w:pgMar w:top="1439" w:right="1440" w:bottom="1080" w:left="1987" w:header="0" w:footer="29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D9F012" w14:textId="77777777" w:rsidR="00FD00E5" w:rsidRDefault="00FD00E5">
      <w:pPr>
        <w:spacing w:line="240" w:lineRule="auto"/>
      </w:pPr>
      <w:r>
        <w:separator/>
      </w:r>
    </w:p>
  </w:endnote>
  <w:endnote w:type="continuationSeparator" w:id="0">
    <w:p w14:paraId="77F56C02" w14:textId="77777777" w:rsidR="00FD00E5" w:rsidRDefault="00FD00E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imes New Roman Bold">
    <w:panose1 w:val="020208030705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Roman">
    <w:altName w:val="Times"/>
    <w:panose1 w:val="00000500000000020000"/>
    <w:charset w:val="00"/>
    <w:family w:val="auto"/>
    <w:pitch w:val="variable"/>
    <w:sig w:usb0="E00002FF" w:usb1="5000205A" w:usb2="00000000" w:usb3="00000000" w:csb0="0000019F" w:csb1="00000000"/>
  </w:font>
  <w:font w:name="Courier">
    <w:panose1 w:val="00000000000000000000"/>
    <w:charset w:val="00"/>
    <w:family w:val="auto"/>
    <w:pitch w:val="variable"/>
    <w:sig w:usb0="00000003" w:usb1="00000000" w:usb2="00000000" w:usb3="00000000" w:csb0="00000003" w:csb1="00000000"/>
  </w:font>
  <w:font w:name="Times-Italic">
    <w:altName w:val="Times"/>
    <w:panose1 w:val="00000500000000090000"/>
    <w:charset w:val="00"/>
    <w:family w:val="auto"/>
    <w:pitch w:val="variable"/>
    <w:sig w:usb0="E00002FF" w:usb1="5000205A" w:usb2="00000000" w:usb3="00000000" w:csb0="0000019F" w:csb1="00000000"/>
  </w:font>
  <w:font w:name="Times">
    <w:panose1 w:val="00000500000000020000"/>
    <w:charset w:val="00"/>
    <w:family w:val="auto"/>
    <w:pitch w:val="variable"/>
    <w:sig w:usb0="E00002FF" w:usb1="5000205A" w:usb2="00000000" w:usb3="00000000" w:csb0="0000019F" w:csb1="00000000"/>
  </w:font>
  <w:font w:name="ACaslon-Italic">
    <w:altName w:val="Calibri"/>
    <w:panose1 w:val="00000000000000000000"/>
    <w:charset w:val="00"/>
    <w:family w:val="auto"/>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A00002EF" w:usb1="4000207B" w:usb2="00000000" w:usb3="00000000" w:csb0="0000009F" w:csb1="00000000"/>
  </w:font>
  <w:font w:name="Adobe Garamond Pro">
    <w:panose1 w:val="02020502060506020403"/>
    <w:charset w:val="00"/>
    <w:family w:val="roman"/>
    <w:pitch w:val="variable"/>
    <w:sig w:usb0="800000AF" w:usb1="5000205B" w:usb2="00000000" w:usb3="00000000" w:csb0="0000009B" w:csb1="00000000"/>
  </w:font>
  <w:font w:name="Adobe Caslon Pro">
    <w:panose1 w:val="0205050205050A020403"/>
    <w:charset w:val="00"/>
    <w:family w:val="roman"/>
    <w:pitch w:val="variable"/>
    <w:sig w:usb0="800000AF" w:usb1="5000205B" w:usb2="00000000" w:usb3="00000000" w:csb0="0000009B" w:csb1="00000000"/>
  </w:font>
  <w:font w:name="Cambria">
    <w:panose1 w:val="02040503050406030204"/>
    <w:charset w:val="00"/>
    <w:family w:val="roman"/>
    <w:pitch w:val="variable"/>
    <w:sig w:usb0="A00002EF" w:usb1="4000004B" w:usb2="00000000" w:usb3="00000000" w:csb0="0000009F" w:csb1="00000000"/>
  </w:font>
  <w:font w:name="Proxima Nova Rg">
    <w:altName w:val="Tahoma"/>
    <w:panose1 w:val="020B0604020202020204"/>
    <w:charset w:val="00"/>
    <w:family w:val="swiss"/>
    <w:notTrueType/>
    <w:pitch w:val="default"/>
    <w:sig w:usb0="00000003" w:usb1="00000000" w:usb2="00000000" w:usb3="00000000" w:csb0="00000001" w:csb1="00000000"/>
  </w:font>
  <w:font w:name="ArialMT">
    <w:altName w:val="Times New Roman"/>
    <w:panose1 w:val="020B0604020202020204"/>
    <w:charset w:val="B2"/>
    <w:family w:val="auto"/>
    <w:notTrueType/>
    <w:pitch w:val="default"/>
    <w:sig w:usb0="00002001" w:usb1="00000000" w:usb2="00000000" w:usb3="00000000" w:csb0="00000040" w:csb1="00000000"/>
  </w:font>
  <w:font w:name="Arial-BoldMT">
    <w:altName w:val="Times New Roman"/>
    <w:panose1 w:val="020B0604020202020204"/>
    <w:charset w:val="B2"/>
    <w:family w:val="auto"/>
    <w:pitch w:val="default"/>
    <w:sig w:usb0="00002001" w:usb1="00000000" w:usb2="00000000"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505E60" w14:textId="601D8D9D" w:rsidR="00767DBC" w:rsidRPr="001F657F" w:rsidRDefault="00573D7A" w:rsidP="003575F4">
    <w:pPr>
      <w:tabs>
        <w:tab w:val="left" w:pos="1530"/>
      </w:tabs>
      <w:spacing w:after="240"/>
      <w:rPr>
        <w:rFonts w:ascii="Arial" w:hAnsi="Arial"/>
        <w:color w:val="767878"/>
      </w:rPr>
    </w:pPr>
    <w:r w:rsidRPr="00573D7A">
      <w:rPr>
        <w:i/>
        <w:color w:val="767878"/>
        <w:sz w:val="20"/>
      </w:rPr>
      <w:t>Model State Legislation Establishing Complete Streets</w:t>
    </w:r>
    <w:r w:rsidR="00767DBC">
      <w:rPr>
        <w:i/>
        <w:color w:val="767878"/>
        <w:sz w:val="20"/>
      </w:rPr>
      <w:tab/>
    </w:r>
    <w:r w:rsidR="00767DBC">
      <w:rPr>
        <w:i/>
        <w:color w:val="767878"/>
        <w:sz w:val="20"/>
      </w:rPr>
      <w:tab/>
    </w:r>
    <w:r w:rsidR="001B689A">
      <w:rPr>
        <w:i/>
        <w:color w:val="767878"/>
        <w:sz w:val="20"/>
      </w:rPr>
      <w:t xml:space="preserve">  </w:t>
    </w:r>
    <w:r w:rsidR="00767DBC">
      <w:rPr>
        <w:i/>
        <w:color w:val="767878"/>
        <w:sz w:val="20"/>
      </w:rPr>
      <w:t xml:space="preserve"> </w:t>
    </w:r>
    <w:hyperlink r:id="rId1" w:history="1">
      <w:r w:rsidR="00767DBC" w:rsidRPr="00A61FBC">
        <w:rPr>
          <w:rFonts w:ascii="Arial" w:hAnsi="Arial"/>
          <w:color w:val="00598D"/>
          <w:sz w:val="18"/>
        </w:rPr>
        <w:t>changelabsolutions.org</w:t>
      </w:r>
    </w:hyperlink>
    <w:r w:rsidR="00767DBC" w:rsidRPr="00A61FBC">
      <w:rPr>
        <w:rFonts w:ascii="Arial" w:hAnsi="Arial"/>
        <w:color w:val="00598D"/>
        <w:sz w:val="18"/>
      </w:rPr>
      <w:t xml:space="preserve"> </w:t>
    </w:r>
    <w:r w:rsidR="00767DBC">
      <w:rPr>
        <w:rFonts w:ascii="Arial" w:hAnsi="Arial"/>
        <w:color w:val="767878"/>
      </w:rPr>
      <w:t xml:space="preserve">            </w:t>
    </w:r>
    <w:r w:rsidR="00AD0B80">
      <w:rPr>
        <w:rFonts w:ascii="Arial" w:hAnsi="Arial"/>
        <w:color w:val="767878"/>
      </w:rPr>
      <w:t xml:space="preserve">     </w:t>
    </w:r>
    <w:r w:rsidR="00767DBC">
      <w:rPr>
        <w:rFonts w:ascii="Arial" w:hAnsi="Arial"/>
        <w:color w:val="767878"/>
      </w:rPr>
      <w:t xml:space="preserve">  </w:t>
    </w:r>
    <w:r w:rsidR="00767DBC" w:rsidRPr="00496424">
      <w:rPr>
        <w:rStyle w:val="PageNumber"/>
        <w:i/>
        <w:sz w:val="20"/>
      </w:rPr>
      <w:fldChar w:fldCharType="begin"/>
    </w:r>
    <w:r w:rsidR="00767DBC" w:rsidRPr="00496424">
      <w:rPr>
        <w:rStyle w:val="PageNumber"/>
        <w:i/>
        <w:sz w:val="20"/>
      </w:rPr>
      <w:instrText xml:space="preserve"> PAGE </w:instrText>
    </w:r>
    <w:r w:rsidR="00767DBC" w:rsidRPr="00496424">
      <w:rPr>
        <w:rStyle w:val="PageNumber"/>
        <w:i/>
        <w:sz w:val="20"/>
      </w:rPr>
      <w:fldChar w:fldCharType="separate"/>
    </w:r>
    <w:r w:rsidR="00767DBC">
      <w:rPr>
        <w:rStyle w:val="PageNumber"/>
        <w:i/>
        <w:noProof/>
        <w:sz w:val="20"/>
      </w:rPr>
      <w:t>10</w:t>
    </w:r>
    <w:r w:rsidR="00767DBC" w:rsidRPr="00496424">
      <w:rPr>
        <w:rStyle w:val="PageNumber"/>
        <w:i/>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AB9B65" w14:textId="77777777" w:rsidR="00767DBC" w:rsidRPr="00C61527" w:rsidRDefault="00767DBC" w:rsidP="003575F4">
    <w:pPr>
      <w:tabs>
        <w:tab w:val="left" w:pos="1530"/>
      </w:tabs>
      <w:spacing w:after="240"/>
      <w:ind w:left="1440"/>
      <w:rPr>
        <w:rFonts w:ascii="Arial" w:hAnsi="Arial"/>
        <w:color w:val="464847"/>
      </w:rPr>
    </w:pPr>
    <w:r w:rsidRPr="00C61527">
      <w:rPr>
        <w:rFonts w:ascii="Arial" w:hAnsi="Arial"/>
        <w:color w:val="464847"/>
      </w:rPr>
      <w:t xml:space="preserve">changelabsolutions.org </w:t>
    </w:r>
  </w:p>
  <w:p w14:paraId="49756754" w14:textId="77777777" w:rsidR="00767DBC" w:rsidRDefault="00767DBC" w:rsidP="003575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E61C1B" w14:textId="77777777" w:rsidR="00FD00E5" w:rsidRDefault="00FD00E5">
      <w:pPr>
        <w:spacing w:line="240" w:lineRule="auto"/>
      </w:pPr>
      <w:r>
        <w:separator/>
      </w:r>
    </w:p>
  </w:footnote>
  <w:footnote w:type="continuationSeparator" w:id="0">
    <w:p w14:paraId="16AC9BD5" w14:textId="77777777" w:rsidR="00FD00E5" w:rsidRDefault="00FD00E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B47E89" w14:textId="77777777" w:rsidR="00767DBC" w:rsidRDefault="00767DBC" w:rsidP="003575F4">
    <w:pPr>
      <w:tabs>
        <w:tab w:val="right" w:pos="8914"/>
      </w:tabs>
      <w:spacing w:line="480" w:lineRule="auto"/>
    </w:pPr>
    <w:r>
      <w:rPr>
        <w:noProof/>
      </w:rPr>
      <w:drawing>
        <wp:anchor distT="0" distB="0" distL="114300" distR="114300" simplePos="0" relativeHeight="251656704" behindDoc="1" locked="0" layoutInCell="1" allowOverlap="1" wp14:anchorId="512A307B" wp14:editId="5A92CEB3">
          <wp:simplePos x="0" y="0"/>
          <wp:positionH relativeFrom="column">
            <wp:posOffset>-140970</wp:posOffset>
          </wp:positionH>
          <wp:positionV relativeFrom="paragraph">
            <wp:posOffset>227330</wp:posOffset>
          </wp:positionV>
          <wp:extent cx="2118360" cy="528320"/>
          <wp:effectExtent l="25400" t="0" r="0" b="0"/>
          <wp:wrapNone/>
          <wp:docPr id="4" name="Picture 0" descr="CLS_2nd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LS_2ndPg.jpg"/>
                  <pic:cNvPicPr>
                    <a:picLocks noChangeAspect="1" noChangeArrowheads="1"/>
                  </pic:cNvPicPr>
                </pic:nvPicPr>
                <pic:blipFill>
                  <a:blip r:embed="rId1"/>
                  <a:srcRect/>
                  <a:stretch>
                    <a:fillRect/>
                  </a:stretch>
                </pic:blipFill>
                <pic:spPr bwMode="auto">
                  <a:xfrm>
                    <a:off x="0" y="0"/>
                    <a:ext cx="2118360" cy="52832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546019" w14:textId="77777777" w:rsidR="00767DBC" w:rsidRDefault="00767DBC" w:rsidP="003575F4">
    <w:pPr>
      <w:ind w:left="-1800"/>
      <w:rPr>
        <w:noProof/>
      </w:rPr>
    </w:pPr>
  </w:p>
  <w:p w14:paraId="1FF78DFA" w14:textId="77777777" w:rsidR="00767DBC" w:rsidRDefault="00767DBC" w:rsidP="003575F4">
    <w:pPr>
      <w:ind w:left="-1800"/>
    </w:pPr>
    <w:r>
      <w:rPr>
        <w:noProof/>
      </w:rPr>
      <w:drawing>
        <wp:anchor distT="0" distB="0" distL="114300" distR="114300" simplePos="0" relativeHeight="251660800" behindDoc="1" locked="0" layoutInCell="1" allowOverlap="1" wp14:anchorId="4D109812" wp14:editId="10A6CBB9">
          <wp:simplePos x="0" y="0"/>
          <wp:positionH relativeFrom="column">
            <wp:posOffset>-178435</wp:posOffset>
          </wp:positionH>
          <wp:positionV relativeFrom="paragraph">
            <wp:posOffset>167640</wp:posOffset>
          </wp:positionV>
          <wp:extent cx="4106545" cy="1109345"/>
          <wp:effectExtent l="25400" t="0" r="8255" b="0"/>
          <wp:wrapNone/>
          <wp:docPr id="8" name="Picture 6" descr="ChangeLabSolutions_logo_primary_t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angeLabSolutions_logo_primary_tag.jpg"/>
                  <pic:cNvPicPr>
                    <a:picLocks noChangeAspect="1" noChangeArrowheads="1"/>
                  </pic:cNvPicPr>
                </pic:nvPicPr>
                <pic:blipFill>
                  <a:blip r:embed="rId1"/>
                  <a:srcRect/>
                  <a:stretch>
                    <a:fillRect/>
                  </a:stretch>
                </pic:blipFill>
                <pic:spPr bwMode="auto">
                  <a:xfrm>
                    <a:off x="0" y="0"/>
                    <a:ext cx="4106545" cy="1109345"/>
                  </a:xfrm>
                  <a:prstGeom prst="rect">
                    <a:avLst/>
                  </a:prstGeom>
                  <a:noFill/>
                  <a:ln w="9525">
                    <a:noFill/>
                    <a:miter lim="800000"/>
                    <a:headEnd/>
                    <a:tailEnd/>
                  </a:ln>
                </pic:spPr>
              </pic:pic>
            </a:graphicData>
          </a:graphic>
        </wp:anchor>
      </w:drawing>
    </w:r>
  </w:p>
  <w:p w14:paraId="770E8310" w14:textId="77777777" w:rsidR="00767DBC" w:rsidRDefault="00767DBC" w:rsidP="003575F4">
    <w:pPr>
      <w:ind w:left="-1800"/>
    </w:pPr>
  </w:p>
  <w:p w14:paraId="02C6F573" w14:textId="77777777" w:rsidR="00767DBC" w:rsidRDefault="00767DBC" w:rsidP="003575F4">
    <w:pPr>
      <w:ind w:left="-1800"/>
    </w:pPr>
  </w:p>
  <w:p w14:paraId="25C30157" w14:textId="77777777" w:rsidR="00767DBC" w:rsidRDefault="00767DBC" w:rsidP="003575F4">
    <w:pPr>
      <w:ind w:left="-1800"/>
    </w:pPr>
  </w:p>
  <w:p w14:paraId="451721CD" w14:textId="77777777" w:rsidR="00767DBC" w:rsidRDefault="00767DBC" w:rsidP="003575F4">
    <w:pPr>
      <w:ind w:left="-18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B8AE8A76"/>
    <w:lvl w:ilvl="0">
      <w:start w:val="1"/>
      <w:numFmt w:val="decimal"/>
      <w:pStyle w:val="MacroText"/>
      <w:lvlText w:val="%1."/>
      <w:lvlJc w:val="left"/>
      <w:pPr>
        <w:tabs>
          <w:tab w:val="num" w:pos="1800"/>
        </w:tabs>
        <w:ind w:left="1800" w:hanging="360"/>
      </w:pPr>
    </w:lvl>
  </w:abstractNum>
  <w:abstractNum w:abstractNumId="1" w15:restartNumberingAfterBreak="0">
    <w:nsid w:val="FFFFFF7D"/>
    <w:multiLevelType w:val="singleLevel"/>
    <w:tmpl w:val="538A4AFC"/>
    <w:lvl w:ilvl="0">
      <w:start w:val="1"/>
      <w:numFmt w:val="decimal"/>
      <w:pStyle w:val="ListNumber5"/>
      <w:lvlText w:val="%1."/>
      <w:lvlJc w:val="left"/>
      <w:pPr>
        <w:tabs>
          <w:tab w:val="num" w:pos="1440"/>
        </w:tabs>
        <w:ind w:left="1440" w:hanging="360"/>
      </w:pPr>
    </w:lvl>
  </w:abstractNum>
  <w:abstractNum w:abstractNumId="2" w15:restartNumberingAfterBreak="0">
    <w:nsid w:val="FFFFFF7E"/>
    <w:multiLevelType w:val="singleLevel"/>
    <w:tmpl w:val="A6024E82"/>
    <w:lvl w:ilvl="0">
      <w:start w:val="1"/>
      <w:numFmt w:val="decimal"/>
      <w:pStyle w:val="ListNumber4"/>
      <w:lvlText w:val="%1."/>
      <w:lvlJc w:val="left"/>
      <w:pPr>
        <w:tabs>
          <w:tab w:val="num" w:pos="1080"/>
        </w:tabs>
        <w:ind w:left="1080" w:hanging="360"/>
      </w:pPr>
    </w:lvl>
  </w:abstractNum>
  <w:abstractNum w:abstractNumId="3" w15:restartNumberingAfterBreak="0">
    <w:nsid w:val="FFFFFF7F"/>
    <w:multiLevelType w:val="singleLevel"/>
    <w:tmpl w:val="F4AE6134"/>
    <w:lvl w:ilvl="0">
      <w:start w:val="1"/>
      <w:numFmt w:val="decimal"/>
      <w:pStyle w:val="ListNumber3"/>
      <w:lvlText w:val="%1."/>
      <w:lvlJc w:val="left"/>
      <w:pPr>
        <w:tabs>
          <w:tab w:val="num" w:pos="720"/>
        </w:tabs>
        <w:ind w:left="720" w:hanging="360"/>
      </w:pPr>
    </w:lvl>
  </w:abstractNum>
  <w:abstractNum w:abstractNumId="4" w15:restartNumberingAfterBreak="0">
    <w:nsid w:val="FFFFFF80"/>
    <w:multiLevelType w:val="singleLevel"/>
    <w:tmpl w:val="619C146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8B654E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0C6A53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6C2CC1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69A8766"/>
    <w:lvl w:ilvl="0">
      <w:start w:val="1"/>
      <w:numFmt w:val="decimal"/>
      <w:pStyle w:val="ListNumber2"/>
      <w:lvlText w:val="%1."/>
      <w:lvlJc w:val="left"/>
      <w:pPr>
        <w:tabs>
          <w:tab w:val="num" w:pos="360"/>
        </w:tabs>
        <w:ind w:left="360" w:hanging="360"/>
      </w:pPr>
    </w:lvl>
  </w:abstractNum>
  <w:abstractNum w:abstractNumId="9" w15:restartNumberingAfterBreak="0">
    <w:nsid w:val="FFFFFF89"/>
    <w:multiLevelType w:val="singleLevel"/>
    <w:tmpl w:val="0924FAC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48A032D"/>
    <w:multiLevelType w:val="hybridMultilevel"/>
    <w:tmpl w:val="23CCAB5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15F47BF"/>
    <w:multiLevelType w:val="hybridMultilevel"/>
    <w:tmpl w:val="37808B42"/>
    <w:lvl w:ilvl="0" w:tplc="3796FD62">
      <w:start w:val="1"/>
      <w:numFmt w:val="bullet"/>
      <w:pStyle w:val="commentsbullets"/>
      <w:lvlText w:val=""/>
      <w:lvlJc w:val="left"/>
      <w:pPr>
        <w:ind w:left="1440" w:hanging="360"/>
      </w:pPr>
      <w:rPr>
        <w:rFonts w:ascii="Symbol" w:hAnsi="Symbol" w:hint="default"/>
      </w:rPr>
    </w:lvl>
    <w:lvl w:ilvl="1" w:tplc="04090019" w:tentative="1">
      <w:start w:val="1"/>
      <w:numFmt w:val="bullet"/>
      <w:lvlText w:val="o"/>
      <w:lvlJc w:val="left"/>
      <w:pPr>
        <w:ind w:left="2160" w:hanging="360"/>
      </w:pPr>
      <w:rPr>
        <w:rFonts w:ascii="Courier New" w:hAnsi="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12" w15:restartNumberingAfterBreak="0">
    <w:nsid w:val="338C2F4D"/>
    <w:multiLevelType w:val="hybridMultilevel"/>
    <w:tmpl w:val="B7583924"/>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94A7CC0"/>
    <w:multiLevelType w:val="hybridMultilevel"/>
    <w:tmpl w:val="2BFCCE66"/>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9477AA4"/>
    <w:multiLevelType w:val="hybridMultilevel"/>
    <w:tmpl w:val="AFD28736"/>
    <w:lvl w:ilvl="0" w:tplc="74C6698A">
      <w:start w:val="1"/>
      <w:numFmt w:val="bullet"/>
      <w:pStyle w:val="bullets"/>
      <w:lvlText w:val=""/>
      <w:lvlJc w:val="left"/>
      <w:pPr>
        <w:ind w:left="900" w:hanging="252"/>
      </w:pPr>
      <w:rPr>
        <w:rFonts w:ascii="Symbol" w:hAnsi="Symbol" w:hint="default"/>
      </w:rPr>
    </w:lvl>
    <w:lvl w:ilvl="1" w:tplc="2C32E5E2">
      <w:start w:val="1"/>
      <w:numFmt w:val="bullet"/>
      <w:lvlText w:val="o"/>
      <w:lvlJc w:val="left"/>
      <w:pPr>
        <w:ind w:left="1440" w:hanging="360"/>
      </w:pPr>
      <w:rPr>
        <w:rFonts w:ascii="Courier New" w:hAnsi="Courier New" w:hint="default"/>
      </w:rPr>
    </w:lvl>
    <w:lvl w:ilvl="2" w:tplc="BE3A3A9C" w:tentative="1">
      <w:start w:val="1"/>
      <w:numFmt w:val="bullet"/>
      <w:lvlText w:val=""/>
      <w:lvlJc w:val="left"/>
      <w:pPr>
        <w:ind w:left="2160" w:hanging="360"/>
      </w:pPr>
      <w:rPr>
        <w:rFonts w:ascii="Wingdings" w:hAnsi="Wingdings" w:hint="default"/>
      </w:rPr>
    </w:lvl>
    <w:lvl w:ilvl="3" w:tplc="06F428CE" w:tentative="1">
      <w:start w:val="1"/>
      <w:numFmt w:val="bullet"/>
      <w:lvlText w:val=""/>
      <w:lvlJc w:val="left"/>
      <w:pPr>
        <w:ind w:left="2880" w:hanging="360"/>
      </w:pPr>
      <w:rPr>
        <w:rFonts w:ascii="Symbol" w:hAnsi="Symbol" w:hint="default"/>
      </w:rPr>
    </w:lvl>
    <w:lvl w:ilvl="4" w:tplc="BEEE251C" w:tentative="1">
      <w:start w:val="1"/>
      <w:numFmt w:val="bullet"/>
      <w:lvlText w:val="o"/>
      <w:lvlJc w:val="left"/>
      <w:pPr>
        <w:ind w:left="3600" w:hanging="360"/>
      </w:pPr>
      <w:rPr>
        <w:rFonts w:ascii="Courier New" w:hAnsi="Courier New" w:hint="default"/>
      </w:rPr>
    </w:lvl>
    <w:lvl w:ilvl="5" w:tplc="27ECD3F0" w:tentative="1">
      <w:start w:val="1"/>
      <w:numFmt w:val="bullet"/>
      <w:lvlText w:val=""/>
      <w:lvlJc w:val="left"/>
      <w:pPr>
        <w:ind w:left="4320" w:hanging="360"/>
      </w:pPr>
      <w:rPr>
        <w:rFonts w:ascii="Wingdings" w:hAnsi="Wingdings" w:hint="default"/>
      </w:rPr>
    </w:lvl>
    <w:lvl w:ilvl="6" w:tplc="1ABC0390" w:tentative="1">
      <w:start w:val="1"/>
      <w:numFmt w:val="bullet"/>
      <w:lvlText w:val=""/>
      <w:lvlJc w:val="left"/>
      <w:pPr>
        <w:ind w:left="5040" w:hanging="360"/>
      </w:pPr>
      <w:rPr>
        <w:rFonts w:ascii="Symbol" w:hAnsi="Symbol" w:hint="default"/>
      </w:rPr>
    </w:lvl>
    <w:lvl w:ilvl="7" w:tplc="FE56C916" w:tentative="1">
      <w:start w:val="1"/>
      <w:numFmt w:val="bullet"/>
      <w:lvlText w:val="o"/>
      <w:lvlJc w:val="left"/>
      <w:pPr>
        <w:ind w:left="5760" w:hanging="360"/>
      </w:pPr>
      <w:rPr>
        <w:rFonts w:ascii="Courier New" w:hAnsi="Courier New" w:hint="default"/>
      </w:rPr>
    </w:lvl>
    <w:lvl w:ilvl="8" w:tplc="F8325742" w:tentative="1">
      <w:start w:val="1"/>
      <w:numFmt w:val="bullet"/>
      <w:lvlText w:val=""/>
      <w:lvlJc w:val="left"/>
      <w:pPr>
        <w:ind w:left="6480" w:hanging="360"/>
      </w:pPr>
      <w:rPr>
        <w:rFonts w:ascii="Wingdings" w:hAnsi="Wingdings" w:hint="default"/>
      </w:rPr>
    </w:lvl>
  </w:abstractNum>
  <w:abstractNum w:abstractNumId="15" w15:restartNumberingAfterBreak="0">
    <w:nsid w:val="4EF0183C"/>
    <w:multiLevelType w:val="hybridMultilevel"/>
    <w:tmpl w:val="9E141560"/>
    <w:lvl w:ilvl="0" w:tplc="C3C035EE">
      <w:start w:val="1"/>
      <w:numFmt w:val="lowerRoman"/>
      <w:pStyle w:val="bullets1"/>
      <w:lvlText w:val="%1."/>
      <w:lvlJc w:val="right"/>
      <w:pPr>
        <w:ind w:left="1170" w:hanging="18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6074012B"/>
    <w:multiLevelType w:val="hybridMultilevel"/>
    <w:tmpl w:val="BC0EE7F8"/>
    <w:lvl w:ilvl="0" w:tplc="69D0B618">
      <w:start w:val="1"/>
      <w:numFmt w:val="lowerLetter"/>
      <w:pStyle w:val="bullets-abc"/>
      <w:lvlText w:val="%1."/>
      <w:lvlJc w:val="left"/>
      <w:pPr>
        <w:ind w:left="1530" w:hanging="360"/>
      </w:pPr>
      <w:rPr>
        <w:rFonts w:hint="default"/>
        <w:b w:val="0"/>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66952862"/>
    <w:multiLevelType w:val="multilevel"/>
    <w:tmpl w:val="2BFCCE66"/>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 w15:restartNumberingAfterBreak="0">
    <w:nsid w:val="7D515D6F"/>
    <w:multiLevelType w:val="hybridMultilevel"/>
    <w:tmpl w:val="D752F020"/>
    <w:lvl w:ilvl="0" w:tplc="04090001">
      <w:start w:val="1"/>
      <w:numFmt w:val="decimal"/>
      <w:lvlText w:val="(%1)"/>
      <w:lvlJc w:val="left"/>
      <w:pPr>
        <w:ind w:left="2160" w:hanging="360"/>
      </w:pPr>
      <w:rPr>
        <w:rFonts w:hint="default"/>
        <w:b w:val="0"/>
        <w:i w:val="0"/>
      </w:rPr>
    </w:lvl>
    <w:lvl w:ilvl="1" w:tplc="04090003">
      <w:start w:val="1"/>
      <w:numFmt w:val="lowerLetter"/>
      <w:lvlText w:val="%2."/>
      <w:lvlJc w:val="left"/>
      <w:pPr>
        <w:tabs>
          <w:tab w:val="num" w:pos="3752"/>
        </w:tabs>
        <w:ind w:left="3752" w:hanging="360"/>
      </w:pPr>
    </w:lvl>
    <w:lvl w:ilvl="2" w:tplc="04090005">
      <w:start w:val="1"/>
      <w:numFmt w:val="lowerLetter"/>
      <w:pStyle w:val="Numbered"/>
      <w:lvlText w:val="(%3)"/>
      <w:lvlJc w:val="left"/>
      <w:pPr>
        <w:tabs>
          <w:tab w:val="num" w:pos="4667"/>
        </w:tabs>
        <w:ind w:left="4667" w:hanging="375"/>
      </w:pPr>
      <w:rPr>
        <w:rFonts w:hint="default"/>
      </w:rPr>
    </w:lvl>
    <w:lvl w:ilvl="3" w:tplc="04090001" w:tentative="1">
      <w:start w:val="1"/>
      <w:numFmt w:val="decimal"/>
      <w:lvlText w:val="%4."/>
      <w:lvlJc w:val="left"/>
      <w:pPr>
        <w:tabs>
          <w:tab w:val="num" w:pos="5192"/>
        </w:tabs>
        <w:ind w:left="5192" w:hanging="360"/>
      </w:pPr>
    </w:lvl>
    <w:lvl w:ilvl="4" w:tplc="04090003" w:tentative="1">
      <w:start w:val="1"/>
      <w:numFmt w:val="lowerLetter"/>
      <w:lvlText w:val="%5."/>
      <w:lvlJc w:val="left"/>
      <w:pPr>
        <w:tabs>
          <w:tab w:val="num" w:pos="5912"/>
        </w:tabs>
        <w:ind w:left="5912" w:hanging="360"/>
      </w:pPr>
    </w:lvl>
    <w:lvl w:ilvl="5" w:tplc="04090005" w:tentative="1">
      <w:start w:val="1"/>
      <w:numFmt w:val="lowerRoman"/>
      <w:lvlText w:val="%6."/>
      <w:lvlJc w:val="right"/>
      <w:pPr>
        <w:tabs>
          <w:tab w:val="num" w:pos="6632"/>
        </w:tabs>
        <w:ind w:left="6632" w:hanging="180"/>
      </w:pPr>
    </w:lvl>
    <w:lvl w:ilvl="6" w:tplc="04090001" w:tentative="1">
      <w:start w:val="1"/>
      <w:numFmt w:val="decimal"/>
      <w:lvlText w:val="%7."/>
      <w:lvlJc w:val="left"/>
      <w:pPr>
        <w:tabs>
          <w:tab w:val="num" w:pos="7352"/>
        </w:tabs>
        <w:ind w:left="7352" w:hanging="360"/>
      </w:pPr>
    </w:lvl>
    <w:lvl w:ilvl="7" w:tplc="04090003" w:tentative="1">
      <w:start w:val="1"/>
      <w:numFmt w:val="lowerLetter"/>
      <w:lvlText w:val="%8."/>
      <w:lvlJc w:val="left"/>
      <w:pPr>
        <w:tabs>
          <w:tab w:val="num" w:pos="8072"/>
        </w:tabs>
        <w:ind w:left="8072" w:hanging="360"/>
      </w:pPr>
    </w:lvl>
    <w:lvl w:ilvl="8" w:tplc="04090005" w:tentative="1">
      <w:start w:val="1"/>
      <w:numFmt w:val="lowerRoman"/>
      <w:lvlText w:val="%9."/>
      <w:lvlJc w:val="right"/>
      <w:pPr>
        <w:tabs>
          <w:tab w:val="num" w:pos="8792"/>
        </w:tabs>
        <w:ind w:left="8792" w:hanging="180"/>
      </w:pPr>
    </w:lvl>
  </w:abstractNum>
  <w:num w:numId="1">
    <w:abstractNumId w:val="8"/>
  </w:num>
  <w:num w:numId="2">
    <w:abstractNumId w:val="3"/>
  </w:num>
  <w:num w:numId="3">
    <w:abstractNumId w:val="2"/>
  </w:num>
  <w:num w:numId="4">
    <w:abstractNumId w:val="1"/>
  </w:num>
  <w:num w:numId="5">
    <w:abstractNumId w:val="0"/>
  </w:num>
  <w:num w:numId="6">
    <w:abstractNumId w:val="11"/>
  </w:num>
  <w:num w:numId="7">
    <w:abstractNumId w:val="14"/>
  </w:num>
  <w:num w:numId="8">
    <w:abstractNumId w:val="9"/>
  </w:num>
  <w:num w:numId="9">
    <w:abstractNumId w:val="7"/>
  </w:num>
  <w:num w:numId="10">
    <w:abstractNumId w:val="6"/>
  </w:num>
  <w:num w:numId="11">
    <w:abstractNumId w:val="5"/>
  </w:num>
  <w:num w:numId="12">
    <w:abstractNumId w:val="4"/>
  </w:num>
  <w:num w:numId="13">
    <w:abstractNumId w:val="18"/>
  </w:num>
  <w:num w:numId="14">
    <w:abstractNumId w:val="16"/>
  </w:num>
  <w:num w:numId="15">
    <w:abstractNumId w:val="16"/>
    <w:lvlOverride w:ilvl="0">
      <w:startOverride w:val="1"/>
    </w:lvlOverride>
  </w:num>
  <w:num w:numId="16">
    <w:abstractNumId w:val="15"/>
  </w:num>
  <w:num w:numId="17">
    <w:abstractNumId w:val="15"/>
    <w:lvlOverride w:ilvl="0">
      <w:startOverride w:val="1"/>
    </w:lvlOverride>
  </w:num>
  <w:num w:numId="18">
    <w:abstractNumId w:val="16"/>
    <w:lvlOverride w:ilvl="0">
      <w:startOverride w:val="1"/>
    </w:lvlOverride>
  </w:num>
  <w:num w:numId="19">
    <w:abstractNumId w:val="16"/>
    <w:lvlOverride w:ilvl="0">
      <w:startOverride w:val="1"/>
    </w:lvlOverride>
  </w:num>
  <w:num w:numId="20">
    <w:abstractNumId w:val="16"/>
    <w:lvlOverride w:ilvl="0">
      <w:startOverride w:val="1"/>
    </w:lvlOverride>
  </w:num>
  <w:num w:numId="21">
    <w:abstractNumId w:val="16"/>
    <w:lvlOverride w:ilvl="0">
      <w:startOverride w:val="1"/>
    </w:lvlOverride>
  </w:num>
  <w:num w:numId="22">
    <w:abstractNumId w:val="15"/>
    <w:lvlOverride w:ilvl="0">
      <w:startOverride w:val="1"/>
    </w:lvlOverride>
  </w:num>
  <w:num w:numId="23">
    <w:abstractNumId w:val="16"/>
    <w:lvlOverride w:ilvl="0">
      <w:startOverride w:val="1"/>
    </w:lvlOverride>
  </w:num>
  <w:num w:numId="24">
    <w:abstractNumId w:val="10"/>
  </w:num>
  <w:num w:numId="25">
    <w:abstractNumId w:val="12"/>
  </w:num>
  <w:num w:numId="26">
    <w:abstractNumId w:val="13"/>
  </w:num>
  <w:num w:numId="27">
    <w:abstractNumId w:val="1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2"/>
  <w:embedSystemFonts/>
  <w:proofState w:spelling="clean" w:grammar="clean"/>
  <w:defaultTabStop w:val="36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45E9"/>
    <w:rsid w:val="00041783"/>
    <w:rsid w:val="00081235"/>
    <w:rsid w:val="000831C6"/>
    <w:rsid w:val="00090F12"/>
    <w:rsid w:val="00132D3A"/>
    <w:rsid w:val="001B689A"/>
    <w:rsid w:val="001C0C7A"/>
    <w:rsid w:val="001C3157"/>
    <w:rsid w:val="00240D0E"/>
    <w:rsid w:val="002C537A"/>
    <w:rsid w:val="00321DBD"/>
    <w:rsid w:val="00336525"/>
    <w:rsid w:val="003453AC"/>
    <w:rsid w:val="00347A7A"/>
    <w:rsid w:val="003575F4"/>
    <w:rsid w:val="003C6ACE"/>
    <w:rsid w:val="003E0B83"/>
    <w:rsid w:val="00405C8C"/>
    <w:rsid w:val="004201C7"/>
    <w:rsid w:val="004619FD"/>
    <w:rsid w:val="0052422F"/>
    <w:rsid w:val="00573D7A"/>
    <w:rsid w:val="00597C48"/>
    <w:rsid w:val="005F6174"/>
    <w:rsid w:val="006005B0"/>
    <w:rsid w:val="006022AF"/>
    <w:rsid w:val="00615CCA"/>
    <w:rsid w:val="0067141A"/>
    <w:rsid w:val="00697425"/>
    <w:rsid w:val="006B59B3"/>
    <w:rsid w:val="006D5042"/>
    <w:rsid w:val="006D7A19"/>
    <w:rsid w:val="00720A51"/>
    <w:rsid w:val="00764032"/>
    <w:rsid w:val="00767DBC"/>
    <w:rsid w:val="0078133B"/>
    <w:rsid w:val="00794499"/>
    <w:rsid w:val="007B395B"/>
    <w:rsid w:val="007C4D0E"/>
    <w:rsid w:val="007C5327"/>
    <w:rsid w:val="007C5D79"/>
    <w:rsid w:val="007D3DF1"/>
    <w:rsid w:val="00881EE0"/>
    <w:rsid w:val="0091624F"/>
    <w:rsid w:val="0095202F"/>
    <w:rsid w:val="0096526B"/>
    <w:rsid w:val="009974D3"/>
    <w:rsid w:val="009A32A3"/>
    <w:rsid w:val="009E13A2"/>
    <w:rsid w:val="009E1448"/>
    <w:rsid w:val="00AB438F"/>
    <w:rsid w:val="00AD0B80"/>
    <w:rsid w:val="00AE0F85"/>
    <w:rsid w:val="00B42CED"/>
    <w:rsid w:val="00B67678"/>
    <w:rsid w:val="00B8229B"/>
    <w:rsid w:val="00BF1D8D"/>
    <w:rsid w:val="00C16108"/>
    <w:rsid w:val="00C24BE7"/>
    <w:rsid w:val="00C936A6"/>
    <w:rsid w:val="00C97236"/>
    <w:rsid w:val="00D13D8D"/>
    <w:rsid w:val="00D62DA9"/>
    <w:rsid w:val="00DD45E9"/>
    <w:rsid w:val="00E04F34"/>
    <w:rsid w:val="00E67039"/>
    <w:rsid w:val="00E76D8B"/>
    <w:rsid w:val="00E9519D"/>
    <w:rsid w:val="00EC6ED5"/>
    <w:rsid w:val="00EE6947"/>
    <w:rsid w:val="00F108F6"/>
    <w:rsid w:val="00F23536"/>
    <w:rsid w:val="00F36633"/>
    <w:rsid w:val="00FD00E5"/>
    <w:rsid w:val="00FF3FFA"/>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672298AC"/>
  <w15:docId w15:val="{85366FE4-3711-8046-81BA-1E41FB1A40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5">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D45E9"/>
    <w:pPr>
      <w:spacing w:line="280" w:lineRule="exact"/>
    </w:pPr>
  </w:style>
  <w:style w:type="paragraph" w:styleId="Heading1">
    <w:name w:val="heading 1"/>
    <w:aliases w:val="Cover Heading"/>
    <w:next w:val="Normal"/>
    <w:link w:val="Heading1Char"/>
    <w:qFormat/>
    <w:rsid w:val="000A7C05"/>
    <w:pPr>
      <w:keepNext/>
      <w:suppressAutoHyphens/>
      <w:spacing w:line="720" w:lineRule="exact"/>
      <w:outlineLvl w:val="0"/>
    </w:pPr>
    <w:rPr>
      <w:rFonts w:ascii="Times New Roman Bold" w:hAnsi="Times New Roman Bold"/>
      <w:color w:val="634263"/>
      <w:kern w:val="32"/>
      <w:sz w:val="60"/>
      <w:szCs w:val="32"/>
    </w:rPr>
  </w:style>
  <w:style w:type="paragraph" w:styleId="Heading2">
    <w:name w:val="heading 2"/>
    <w:basedOn w:val="Heading1"/>
    <w:next w:val="Normal"/>
    <w:link w:val="Heading2Char"/>
    <w:uiPriority w:val="9"/>
    <w:qFormat/>
    <w:rsid w:val="00573D7A"/>
    <w:pPr>
      <w:spacing w:after="120" w:line="320" w:lineRule="exact"/>
      <w:outlineLvl w:val="1"/>
    </w:pPr>
    <w:rPr>
      <w:rFonts w:ascii="Arial" w:hAnsi="Arial"/>
      <w:color w:val="00598D"/>
      <w:sz w:val="30"/>
      <w:szCs w:val="28"/>
    </w:rPr>
  </w:style>
  <w:style w:type="paragraph" w:styleId="Heading3">
    <w:name w:val="heading 3"/>
    <w:basedOn w:val="BasicParagraph"/>
    <w:next w:val="Normal"/>
    <w:link w:val="Heading3Char"/>
    <w:qFormat/>
    <w:rsid w:val="00041783"/>
    <w:pPr>
      <w:spacing w:after="240" w:line="280" w:lineRule="exact"/>
      <w:outlineLvl w:val="2"/>
    </w:pPr>
    <w:rPr>
      <w:b/>
      <w:color w:val="auto"/>
      <w:szCs w:val="26"/>
    </w:rPr>
  </w:style>
  <w:style w:type="paragraph" w:styleId="Heading4">
    <w:name w:val="heading 4"/>
    <w:basedOn w:val="Normal"/>
    <w:next w:val="Normal"/>
    <w:link w:val="Heading4Char"/>
    <w:qFormat/>
    <w:rsid w:val="00593FAD"/>
    <w:pPr>
      <w:keepNext/>
      <w:widowControl w:val="0"/>
      <w:autoSpaceDE w:val="0"/>
      <w:autoSpaceDN w:val="0"/>
      <w:adjustRightInd w:val="0"/>
      <w:spacing w:before="120" w:after="120" w:line="240" w:lineRule="auto"/>
      <w:outlineLvl w:val="3"/>
    </w:pPr>
    <w:rPr>
      <w:b/>
      <w:bCs/>
      <w:sz w:val="28"/>
      <w:szCs w:val="28"/>
    </w:rPr>
  </w:style>
  <w:style w:type="paragraph" w:styleId="Heading5">
    <w:name w:val="heading 5"/>
    <w:basedOn w:val="Normal"/>
    <w:next w:val="Normal"/>
    <w:link w:val="Heading5Char"/>
    <w:qFormat/>
    <w:rsid w:val="000C311C"/>
    <w:pPr>
      <w:widowControl w:val="0"/>
      <w:autoSpaceDE w:val="0"/>
      <w:autoSpaceDN w:val="0"/>
      <w:adjustRightInd w:val="0"/>
      <w:spacing w:before="240" w:after="60" w:line="240" w:lineRule="auto"/>
      <w:outlineLvl w:val="4"/>
    </w:pPr>
    <w:rPr>
      <w:rFonts w:ascii="Courier" w:hAnsi="Courier"/>
      <w:b/>
      <w:bCs/>
      <w:i/>
      <w:iCs/>
      <w:sz w:val="26"/>
      <w:szCs w:val="26"/>
    </w:rPr>
  </w:style>
  <w:style w:type="paragraph" w:styleId="Heading6">
    <w:name w:val="heading 6"/>
    <w:basedOn w:val="Normal"/>
    <w:next w:val="Normal"/>
    <w:link w:val="Heading6Char"/>
    <w:qFormat/>
    <w:rsid w:val="000C311C"/>
    <w:pPr>
      <w:widowControl w:val="0"/>
      <w:autoSpaceDE w:val="0"/>
      <w:autoSpaceDN w:val="0"/>
      <w:adjustRightInd w:val="0"/>
      <w:spacing w:before="240" w:after="60" w:line="240" w:lineRule="auto"/>
      <w:outlineLvl w:val="5"/>
    </w:pPr>
    <w:rPr>
      <w:b/>
      <w:bCs/>
      <w:sz w:val="22"/>
      <w:szCs w:val="22"/>
    </w:rPr>
  </w:style>
  <w:style w:type="paragraph" w:styleId="Heading7">
    <w:name w:val="heading 7"/>
    <w:basedOn w:val="Normal"/>
    <w:next w:val="Normal"/>
    <w:link w:val="Heading7Char"/>
    <w:qFormat/>
    <w:rsid w:val="000C311C"/>
    <w:pPr>
      <w:widowControl w:val="0"/>
      <w:autoSpaceDE w:val="0"/>
      <w:autoSpaceDN w:val="0"/>
      <w:adjustRightInd w:val="0"/>
      <w:spacing w:before="240" w:after="60" w:line="240" w:lineRule="auto"/>
      <w:outlineLvl w:val="6"/>
    </w:pPr>
  </w:style>
  <w:style w:type="paragraph" w:styleId="Heading8">
    <w:name w:val="heading 8"/>
    <w:basedOn w:val="Normal"/>
    <w:next w:val="Normal"/>
    <w:link w:val="Heading8Char"/>
    <w:qFormat/>
    <w:rsid w:val="000C311C"/>
    <w:pPr>
      <w:widowControl w:val="0"/>
      <w:autoSpaceDE w:val="0"/>
      <w:autoSpaceDN w:val="0"/>
      <w:adjustRightInd w:val="0"/>
      <w:spacing w:before="240" w:after="60" w:line="240" w:lineRule="auto"/>
      <w:outlineLvl w:val="7"/>
    </w:pPr>
    <w:rPr>
      <w:i/>
      <w:iCs/>
    </w:rPr>
  </w:style>
  <w:style w:type="paragraph" w:styleId="Heading9">
    <w:name w:val="heading 9"/>
    <w:basedOn w:val="Normal"/>
    <w:next w:val="Normal"/>
    <w:link w:val="Heading9Char"/>
    <w:qFormat/>
    <w:rsid w:val="000C311C"/>
    <w:pPr>
      <w:widowControl w:val="0"/>
      <w:autoSpaceDE w:val="0"/>
      <w:autoSpaceDN w:val="0"/>
      <w:adjustRightInd w:val="0"/>
      <w:spacing w:before="240" w:after="60" w:line="240" w:lineRule="auto"/>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over Heading Char"/>
    <w:basedOn w:val="DefaultParagraphFont"/>
    <w:link w:val="Heading1"/>
    <w:rsid w:val="000C311C"/>
    <w:rPr>
      <w:rFonts w:ascii="Times New Roman Bold" w:hAnsi="Times New Roman Bold"/>
      <w:color w:val="634263"/>
      <w:kern w:val="32"/>
      <w:sz w:val="60"/>
      <w:szCs w:val="32"/>
      <w:lang w:val="en-US" w:eastAsia="en-US" w:bidi="ar-SA"/>
    </w:rPr>
  </w:style>
  <w:style w:type="character" w:customStyle="1" w:styleId="Heading2Char">
    <w:name w:val="Heading 2 Char"/>
    <w:basedOn w:val="DefaultParagraphFont"/>
    <w:link w:val="Heading2"/>
    <w:uiPriority w:val="9"/>
    <w:rsid w:val="00573D7A"/>
    <w:rPr>
      <w:rFonts w:ascii="Arial" w:hAnsi="Arial"/>
      <w:color w:val="00598D"/>
      <w:kern w:val="32"/>
      <w:sz w:val="30"/>
      <w:szCs w:val="28"/>
    </w:rPr>
  </w:style>
  <w:style w:type="character" w:customStyle="1" w:styleId="Heading3Char">
    <w:name w:val="Heading 3 Char"/>
    <w:basedOn w:val="DefaultParagraphFont"/>
    <w:link w:val="Heading3"/>
    <w:rsid w:val="00041783"/>
    <w:rPr>
      <w:rFonts w:cs="Times-Roman"/>
      <w:b/>
      <w:szCs w:val="26"/>
      <w:lang w:bidi="en-US"/>
    </w:rPr>
  </w:style>
  <w:style w:type="character" w:customStyle="1" w:styleId="Heading4Char">
    <w:name w:val="Heading 4 Char"/>
    <w:basedOn w:val="DefaultParagraphFont"/>
    <w:link w:val="Heading4"/>
    <w:rsid w:val="00593FAD"/>
    <w:rPr>
      <w:b/>
      <w:bCs/>
      <w:sz w:val="28"/>
      <w:szCs w:val="28"/>
    </w:rPr>
  </w:style>
  <w:style w:type="character" w:customStyle="1" w:styleId="Heading5Char">
    <w:name w:val="Heading 5 Char"/>
    <w:basedOn w:val="DefaultParagraphFont"/>
    <w:link w:val="Heading5"/>
    <w:rsid w:val="000C311C"/>
    <w:rPr>
      <w:rFonts w:ascii="Courier" w:hAnsi="Courier"/>
      <w:b/>
      <w:bCs/>
      <w:i/>
      <w:iCs/>
      <w:sz w:val="26"/>
      <w:szCs w:val="26"/>
    </w:rPr>
  </w:style>
  <w:style w:type="character" w:customStyle="1" w:styleId="Heading6Char">
    <w:name w:val="Heading 6 Char"/>
    <w:basedOn w:val="DefaultParagraphFont"/>
    <w:link w:val="Heading6"/>
    <w:rsid w:val="000C311C"/>
    <w:rPr>
      <w:b/>
      <w:bCs/>
      <w:sz w:val="22"/>
      <w:szCs w:val="22"/>
    </w:rPr>
  </w:style>
  <w:style w:type="character" w:customStyle="1" w:styleId="Heading7Char">
    <w:name w:val="Heading 7 Char"/>
    <w:basedOn w:val="DefaultParagraphFont"/>
    <w:link w:val="Heading7"/>
    <w:rsid w:val="000C311C"/>
    <w:rPr>
      <w:sz w:val="24"/>
      <w:szCs w:val="24"/>
    </w:rPr>
  </w:style>
  <w:style w:type="character" w:customStyle="1" w:styleId="Heading8Char">
    <w:name w:val="Heading 8 Char"/>
    <w:basedOn w:val="DefaultParagraphFont"/>
    <w:link w:val="Heading8"/>
    <w:rsid w:val="000C311C"/>
    <w:rPr>
      <w:i/>
      <w:iCs/>
      <w:sz w:val="24"/>
      <w:szCs w:val="24"/>
    </w:rPr>
  </w:style>
  <w:style w:type="character" w:customStyle="1" w:styleId="Heading9Char">
    <w:name w:val="Heading 9 Char"/>
    <w:basedOn w:val="DefaultParagraphFont"/>
    <w:link w:val="Heading9"/>
    <w:rsid w:val="000C311C"/>
    <w:rPr>
      <w:rFonts w:ascii="Arial" w:hAnsi="Arial" w:cs="Arial"/>
      <w:sz w:val="22"/>
      <w:szCs w:val="22"/>
    </w:rPr>
  </w:style>
  <w:style w:type="paragraph" w:styleId="FootnoteText">
    <w:name w:val="footnote text"/>
    <w:link w:val="FootnoteTextChar"/>
    <w:uiPriority w:val="99"/>
    <w:rsid w:val="00DD45E9"/>
    <w:pPr>
      <w:spacing w:line="200" w:lineRule="exact"/>
    </w:pPr>
    <w:rPr>
      <w:sz w:val="18"/>
    </w:rPr>
  </w:style>
  <w:style w:type="character" w:customStyle="1" w:styleId="FootnoteTextChar">
    <w:name w:val="Footnote Text Char"/>
    <w:basedOn w:val="DefaultParagraphFont"/>
    <w:link w:val="FootnoteText"/>
    <w:uiPriority w:val="99"/>
    <w:locked/>
    <w:rsid w:val="00620EAF"/>
    <w:rPr>
      <w:sz w:val="18"/>
      <w:szCs w:val="24"/>
      <w:lang w:val="en-US" w:eastAsia="en-US" w:bidi="ar-SA"/>
    </w:rPr>
  </w:style>
  <w:style w:type="character" w:styleId="FootnoteReference">
    <w:name w:val="footnote reference"/>
    <w:basedOn w:val="DefaultParagraphFont"/>
    <w:uiPriority w:val="99"/>
    <w:rsid w:val="00DD45E9"/>
    <w:rPr>
      <w:rFonts w:ascii="Times New Roman" w:hAnsi="Times New Roman"/>
      <w:sz w:val="18"/>
      <w:vertAlign w:val="superscript"/>
    </w:rPr>
  </w:style>
  <w:style w:type="character" w:styleId="Hyperlink">
    <w:name w:val="Hyperlink"/>
    <w:basedOn w:val="DefaultParagraphFont"/>
    <w:uiPriority w:val="99"/>
    <w:rsid w:val="00DD45E9"/>
    <w:rPr>
      <w:color w:val="0000FF"/>
      <w:u w:val="single"/>
    </w:rPr>
  </w:style>
  <w:style w:type="paragraph" w:styleId="Footer">
    <w:name w:val="footer"/>
    <w:basedOn w:val="Normal"/>
    <w:link w:val="FooterChar"/>
    <w:uiPriority w:val="99"/>
    <w:rsid w:val="00DD45E9"/>
    <w:pPr>
      <w:tabs>
        <w:tab w:val="center" w:pos="4320"/>
        <w:tab w:val="right" w:pos="8640"/>
      </w:tabs>
    </w:pPr>
  </w:style>
  <w:style w:type="character" w:customStyle="1" w:styleId="FooterChar">
    <w:name w:val="Footer Char"/>
    <w:basedOn w:val="DefaultParagraphFont"/>
    <w:link w:val="Footer"/>
    <w:uiPriority w:val="99"/>
    <w:locked/>
    <w:rsid w:val="00620EAF"/>
    <w:rPr>
      <w:sz w:val="24"/>
      <w:szCs w:val="24"/>
    </w:rPr>
  </w:style>
  <w:style w:type="paragraph" w:customStyle="1" w:styleId="BasicParagraph">
    <w:name w:val="[Basic Paragraph]"/>
    <w:basedOn w:val="Normal"/>
    <w:rsid w:val="00A43FDC"/>
    <w:pPr>
      <w:widowControl w:val="0"/>
      <w:autoSpaceDE w:val="0"/>
      <w:autoSpaceDN w:val="0"/>
      <w:adjustRightInd w:val="0"/>
      <w:spacing w:line="288" w:lineRule="auto"/>
      <w:textAlignment w:val="center"/>
    </w:pPr>
    <w:rPr>
      <w:rFonts w:cs="Times-Roman"/>
      <w:color w:val="000000"/>
      <w:lang w:bidi="en-US"/>
    </w:rPr>
  </w:style>
  <w:style w:type="character" w:styleId="PageNumber">
    <w:name w:val="page number"/>
    <w:uiPriority w:val="99"/>
    <w:rsid w:val="00CC2C64"/>
    <w:rPr>
      <w:rFonts w:ascii="Times New Roman Bold" w:hAnsi="Times New Roman Bold"/>
      <w:dstrike w:val="0"/>
      <w:color w:val="auto"/>
      <w:w w:val="100"/>
      <w:sz w:val="24"/>
      <w:u w:val="none"/>
      <w:vertAlign w:val="baseline"/>
    </w:rPr>
  </w:style>
  <w:style w:type="paragraph" w:styleId="CommentText">
    <w:name w:val="annotation text"/>
    <w:basedOn w:val="Normal"/>
    <w:link w:val="CommentTextChar1"/>
    <w:uiPriority w:val="99"/>
    <w:rsid w:val="00DD45E9"/>
    <w:rPr>
      <w:sz w:val="20"/>
      <w:szCs w:val="20"/>
    </w:rPr>
  </w:style>
  <w:style w:type="character" w:customStyle="1" w:styleId="CommentTextChar1">
    <w:name w:val="Comment Text Char1"/>
    <w:basedOn w:val="DefaultParagraphFont"/>
    <w:link w:val="CommentText"/>
    <w:semiHidden/>
    <w:rsid w:val="000C311C"/>
  </w:style>
  <w:style w:type="paragraph" w:customStyle="1" w:styleId="footertext">
    <w:name w:val="footer text"/>
    <w:rsid w:val="00DD45E9"/>
    <w:pPr>
      <w:suppressAutoHyphens/>
      <w:spacing w:line="240" w:lineRule="exact"/>
    </w:pPr>
    <w:rPr>
      <w:rFonts w:cs="Times-Italic"/>
      <w:i/>
      <w:iCs/>
      <w:color w:val="767878"/>
      <w:lang w:bidi="en-US"/>
    </w:rPr>
  </w:style>
  <w:style w:type="paragraph" w:customStyle="1" w:styleId="Italicsubhead">
    <w:name w:val="Italic subhead"/>
    <w:rsid w:val="00DD45E9"/>
    <w:pPr>
      <w:suppressAutoHyphens/>
      <w:spacing w:line="280" w:lineRule="exact"/>
    </w:pPr>
    <w:rPr>
      <w:rFonts w:ascii="Times-Roman" w:hAnsi="Times-Roman" w:cs="Times-Roman"/>
      <w:i/>
      <w:color w:val="000000"/>
      <w:sz w:val="26"/>
      <w:lang w:bidi="en-US"/>
    </w:rPr>
  </w:style>
  <w:style w:type="paragraph" w:customStyle="1" w:styleId="smallheading">
    <w:name w:val="small heading"/>
    <w:basedOn w:val="Heading3"/>
    <w:rsid w:val="00DD45E9"/>
    <w:pPr>
      <w:ind w:left="144" w:right="144"/>
    </w:pPr>
    <w:rPr>
      <w:b w:val="0"/>
      <w:sz w:val="20"/>
    </w:rPr>
  </w:style>
  <w:style w:type="paragraph" w:customStyle="1" w:styleId="nPlancovertext">
    <w:name w:val="nPlan cover text"/>
    <w:basedOn w:val="Normal"/>
    <w:rsid w:val="00DD45E9"/>
    <w:pPr>
      <w:tabs>
        <w:tab w:val="left" w:pos="1440"/>
      </w:tabs>
      <w:ind w:left="1800"/>
    </w:pPr>
    <w:rPr>
      <w:rFonts w:cs="Arial"/>
    </w:rPr>
  </w:style>
  <w:style w:type="paragraph" w:customStyle="1" w:styleId="disclamerbox">
    <w:name w:val="disclamer box"/>
    <w:basedOn w:val="Normal"/>
    <w:uiPriority w:val="99"/>
    <w:rsid w:val="00DD45E9"/>
    <w:pPr>
      <w:framePr w:hSpace="187" w:vSpace="187" w:wrap="around" w:vAnchor="text" w:hAnchor="margin" w:y="1"/>
      <w:pBdr>
        <w:top w:val="single" w:sz="4" w:space="6" w:color="auto"/>
        <w:left w:val="single" w:sz="4" w:space="6" w:color="auto"/>
        <w:bottom w:val="single" w:sz="4" w:space="6" w:color="auto"/>
        <w:right w:val="single" w:sz="4" w:space="6" w:color="auto"/>
      </w:pBdr>
      <w:shd w:val="clear" w:color="auto" w:fill="E6E6E6"/>
      <w:spacing w:line="260" w:lineRule="exact"/>
      <w:ind w:left="120" w:right="120"/>
    </w:pPr>
    <w:rPr>
      <w:rFonts w:ascii="Times" w:hAnsi="Times" w:cs="ACaslon-Italic"/>
      <w:i/>
      <w:iCs/>
      <w:sz w:val="18"/>
      <w:szCs w:val="16"/>
      <w:lang w:bidi="en-US"/>
    </w:rPr>
  </w:style>
  <w:style w:type="paragraph" w:customStyle="1" w:styleId="commentsbox">
    <w:name w:val="comments box"/>
    <w:basedOn w:val="Normal"/>
    <w:next w:val="BasicParagraph"/>
    <w:rsid w:val="00862962"/>
    <w:pPr>
      <w:pBdr>
        <w:top w:val="single" w:sz="4" w:space="6" w:color="C0C0C0"/>
        <w:left w:val="single" w:sz="4" w:space="6" w:color="C0C0C0"/>
        <w:bottom w:val="single" w:sz="4" w:space="6" w:color="C0C0C0"/>
        <w:right w:val="single" w:sz="4" w:space="6" w:color="C0C0C0"/>
      </w:pBdr>
      <w:shd w:val="clear" w:color="auto" w:fill="E6E6E6"/>
      <w:ind w:left="120" w:right="120"/>
    </w:pPr>
    <w:rPr>
      <w:rFonts w:ascii="Arial" w:hAnsi="Arial"/>
      <w:sz w:val="20"/>
    </w:rPr>
  </w:style>
  <w:style w:type="paragraph" w:styleId="Header">
    <w:name w:val="header"/>
    <w:basedOn w:val="Normal"/>
    <w:link w:val="HeaderChar"/>
    <w:uiPriority w:val="99"/>
    <w:rsid w:val="00CC2C64"/>
    <w:pPr>
      <w:tabs>
        <w:tab w:val="center" w:pos="4320"/>
        <w:tab w:val="right" w:pos="8640"/>
      </w:tabs>
    </w:pPr>
  </w:style>
  <w:style w:type="character" w:customStyle="1" w:styleId="HeaderChar">
    <w:name w:val="Header Char"/>
    <w:link w:val="Header"/>
    <w:uiPriority w:val="99"/>
    <w:rsid w:val="00526524"/>
  </w:style>
  <w:style w:type="paragraph" w:styleId="BalloonText">
    <w:name w:val="Balloon Text"/>
    <w:basedOn w:val="Normal"/>
    <w:link w:val="BalloonTextChar"/>
    <w:uiPriority w:val="99"/>
    <w:semiHidden/>
    <w:unhideWhenUsed/>
    <w:rsid w:val="00357D57"/>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357D57"/>
    <w:rPr>
      <w:rFonts w:ascii="Lucida Grande" w:hAnsi="Lucida Grande"/>
      <w:sz w:val="18"/>
      <w:szCs w:val="18"/>
    </w:rPr>
  </w:style>
  <w:style w:type="paragraph" w:customStyle="1" w:styleId="NormalText">
    <w:name w:val="Normal Text"/>
    <w:basedOn w:val="Normal"/>
    <w:link w:val="NormalTextChar"/>
    <w:rsid w:val="000C311C"/>
    <w:pPr>
      <w:widowControl w:val="0"/>
      <w:tabs>
        <w:tab w:val="left" w:pos="360"/>
        <w:tab w:val="left" w:pos="720"/>
        <w:tab w:val="left" w:pos="1080"/>
        <w:tab w:val="left" w:pos="1440"/>
        <w:tab w:val="left" w:pos="1800"/>
        <w:tab w:val="left" w:pos="2160"/>
      </w:tabs>
      <w:autoSpaceDE w:val="0"/>
      <w:autoSpaceDN w:val="0"/>
      <w:adjustRightInd w:val="0"/>
      <w:spacing w:line="240" w:lineRule="auto"/>
      <w:ind w:firstLine="360"/>
    </w:pPr>
    <w:rPr>
      <w:sz w:val="20"/>
      <w:szCs w:val="20"/>
    </w:rPr>
  </w:style>
  <w:style w:type="character" w:customStyle="1" w:styleId="NormalTextChar">
    <w:name w:val="Normal Text Char"/>
    <w:link w:val="NormalText"/>
    <w:rsid w:val="00B64766"/>
    <w:rPr>
      <w:szCs w:val="20"/>
    </w:rPr>
  </w:style>
  <w:style w:type="character" w:customStyle="1" w:styleId="Hypertext">
    <w:name w:val="Hypertext"/>
    <w:rsid w:val="000C311C"/>
    <w:rPr>
      <w:color w:val="auto"/>
      <w:u w:val="none"/>
    </w:rPr>
  </w:style>
  <w:style w:type="paragraph" w:customStyle="1" w:styleId="Level1">
    <w:name w:val="Level 1"/>
    <w:basedOn w:val="Normal"/>
    <w:rsid w:val="000C311C"/>
    <w:pPr>
      <w:widowControl w:val="0"/>
      <w:autoSpaceDE w:val="0"/>
      <w:autoSpaceDN w:val="0"/>
      <w:adjustRightInd w:val="0"/>
      <w:spacing w:line="240" w:lineRule="auto"/>
      <w:ind w:left="720" w:hanging="720"/>
    </w:pPr>
    <w:rPr>
      <w:rFonts w:ascii="Courier" w:hAnsi="Courier"/>
      <w:sz w:val="20"/>
      <w:szCs w:val="20"/>
    </w:rPr>
  </w:style>
  <w:style w:type="paragraph" w:customStyle="1" w:styleId="LevelA">
    <w:name w:val="Level A"/>
    <w:basedOn w:val="NormalText"/>
    <w:rsid w:val="000C311C"/>
    <w:pPr>
      <w:ind w:left="360"/>
    </w:pPr>
  </w:style>
  <w:style w:type="paragraph" w:customStyle="1" w:styleId="LevelB">
    <w:name w:val="Level B"/>
    <w:basedOn w:val="NormalText"/>
    <w:rsid w:val="000C311C"/>
    <w:pPr>
      <w:ind w:left="720"/>
    </w:pPr>
  </w:style>
  <w:style w:type="paragraph" w:customStyle="1" w:styleId="law">
    <w:name w:val="law"/>
    <w:basedOn w:val="Normal"/>
    <w:rsid w:val="00623818"/>
    <w:pPr>
      <w:keepNext/>
      <w:widowControl w:val="0"/>
      <w:autoSpaceDE w:val="0"/>
      <w:autoSpaceDN w:val="0"/>
      <w:adjustRightInd w:val="0"/>
      <w:spacing w:line="240" w:lineRule="auto"/>
      <w:ind w:left="1800" w:firstLine="360"/>
    </w:pPr>
    <w:rPr>
      <w:szCs w:val="20"/>
    </w:rPr>
  </w:style>
  <w:style w:type="paragraph" w:styleId="HTMLPreformatted">
    <w:name w:val="HTML Preformatted"/>
    <w:basedOn w:val="Normal"/>
    <w:link w:val="HTMLPreformattedChar"/>
    <w:uiPriority w:val="99"/>
    <w:rsid w:val="000C31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Arial Unicode MS" w:eastAsia="Arial Unicode MS" w:hAnsi="Arial Unicode MS"/>
      <w:sz w:val="20"/>
      <w:szCs w:val="20"/>
    </w:rPr>
  </w:style>
  <w:style w:type="character" w:customStyle="1" w:styleId="HTMLPreformattedChar">
    <w:name w:val="HTML Preformatted Char"/>
    <w:basedOn w:val="DefaultParagraphFont"/>
    <w:link w:val="HTMLPreformatted"/>
    <w:uiPriority w:val="99"/>
    <w:rsid w:val="000C311C"/>
    <w:rPr>
      <w:rFonts w:ascii="Arial Unicode MS" w:eastAsia="Arial Unicode MS" w:hAnsi="Arial Unicode MS"/>
    </w:rPr>
  </w:style>
  <w:style w:type="paragraph" w:customStyle="1" w:styleId="LevelBase">
    <w:name w:val="Level Base"/>
    <w:basedOn w:val="NormalText"/>
    <w:rsid w:val="00F04992"/>
    <w:pPr>
      <w:widowControl/>
    </w:pPr>
  </w:style>
  <w:style w:type="paragraph" w:customStyle="1" w:styleId="secnorm">
    <w:name w:val="sec norm"/>
    <w:basedOn w:val="Normal"/>
    <w:rsid w:val="000C311C"/>
    <w:pPr>
      <w:tabs>
        <w:tab w:val="left" w:pos="1440"/>
        <w:tab w:val="left" w:pos="2160"/>
      </w:tabs>
      <w:spacing w:after="120" w:line="240" w:lineRule="auto"/>
      <w:ind w:firstLine="720"/>
    </w:pPr>
    <w:rPr>
      <w:color w:val="000000"/>
      <w:szCs w:val="20"/>
    </w:rPr>
  </w:style>
  <w:style w:type="paragraph" w:customStyle="1" w:styleId="LevelC">
    <w:name w:val="Level C"/>
    <w:basedOn w:val="LevelB"/>
    <w:rsid w:val="000C311C"/>
    <w:pPr>
      <w:ind w:left="1080"/>
    </w:pPr>
  </w:style>
  <w:style w:type="paragraph" w:customStyle="1" w:styleId="LevelD">
    <w:name w:val="Level D"/>
    <w:basedOn w:val="LevelC"/>
    <w:rsid w:val="000C311C"/>
    <w:pPr>
      <w:ind w:left="1440"/>
    </w:pPr>
  </w:style>
  <w:style w:type="character" w:customStyle="1" w:styleId="CommentTextChar">
    <w:name w:val="Comment Text Char"/>
    <w:basedOn w:val="DefaultParagraphFont"/>
    <w:uiPriority w:val="99"/>
    <w:rsid w:val="000C311C"/>
    <w:rPr>
      <w:rFonts w:ascii="Courier" w:hAnsi="Courier"/>
    </w:rPr>
  </w:style>
  <w:style w:type="paragraph" w:customStyle="1" w:styleId="llist">
    <w:name w:val="llist"/>
    <w:basedOn w:val="LevelA"/>
    <w:rsid w:val="000C311C"/>
    <w:pPr>
      <w:tabs>
        <w:tab w:val="clear" w:pos="360"/>
      </w:tabs>
      <w:ind w:left="1080" w:hanging="360"/>
    </w:pPr>
  </w:style>
  <w:style w:type="paragraph" w:styleId="Date">
    <w:name w:val="Date"/>
    <w:basedOn w:val="Normal"/>
    <w:next w:val="Normal"/>
    <w:link w:val="DateChar"/>
    <w:rsid w:val="000C311C"/>
    <w:pPr>
      <w:widowControl w:val="0"/>
      <w:autoSpaceDE w:val="0"/>
      <w:autoSpaceDN w:val="0"/>
      <w:adjustRightInd w:val="0"/>
      <w:spacing w:line="240" w:lineRule="auto"/>
    </w:pPr>
    <w:rPr>
      <w:rFonts w:ascii="Courier" w:hAnsi="Courier"/>
      <w:sz w:val="20"/>
      <w:szCs w:val="20"/>
    </w:rPr>
  </w:style>
  <w:style w:type="character" w:customStyle="1" w:styleId="DateChar">
    <w:name w:val="Date Char"/>
    <w:basedOn w:val="DefaultParagraphFont"/>
    <w:link w:val="Date"/>
    <w:rsid w:val="000C311C"/>
    <w:rPr>
      <w:rFonts w:ascii="Courier" w:hAnsi="Courier"/>
    </w:rPr>
  </w:style>
  <w:style w:type="paragraph" w:styleId="EndnoteText">
    <w:name w:val="endnote text"/>
    <w:basedOn w:val="BasicParagraph"/>
    <w:link w:val="EndnoteTextChar"/>
    <w:uiPriority w:val="99"/>
    <w:rsid w:val="00C24BE7"/>
    <w:pPr>
      <w:spacing w:after="60"/>
      <w:ind w:left="180" w:hanging="180"/>
    </w:pPr>
    <w:rPr>
      <w:rFonts w:cs="Times New Roman"/>
      <w:sz w:val="20"/>
      <w:szCs w:val="18"/>
    </w:rPr>
  </w:style>
  <w:style w:type="character" w:customStyle="1" w:styleId="EndnoteTextChar">
    <w:name w:val="Endnote Text Char"/>
    <w:basedOn w:val="DefaultParagraphFont"/>
    <w:link w:val="EndnoteText"/>
    <w:uiPriority w:val="99"/>
    <w:rsid w:val="00C24BE7"/>
    <w:rPr>
      <w:color w:val="000000"/>
      <w:sz w:val="20"/>
      <w:szCs w:val="18"/>
      <w:lang w:bidi="en-US"/>
    </w:rPr>
  </w:style>
  <w:style w:type="paragraph" w:styleId="HTMLAddress">
    <w:name w:val="HTML Address"/>
    <w:basedOn w:val="Normal"/>
    <w:link w:val="HTMLAddressChar"/>
    <w:rsid w:val="000C311C"/>
    <w:pPr>
      <w:widowControl w:val="0"/>
      <w:autoSpaceDE w:val="0"/>
      <w:autoSpaceDN w:val="0"/>
      <w:adjustRightInd w:val="0"/>
      <w:spacing w:line="240" w:lineRule="auto"/>
    </w:pPr>
    <w:rPr>
      <w:rFonts w:ascii="Courier" w:hAnsi="Courier"/>
      <w:i/>
      <w:iCs/>
      <w:sz w:val="20"/>
      <w:szCs w:val="20"/>
    </w:rPr>
  </w:style>
  <w:style w:type="character" w:customStyle="1" w:styleId="HTMLAddressChar">
    <w:name w:val="HTML Address Char"/>
    <w:basedOn w:val="DefaultParagraphFont"/>
    <w:link w:val="HTMLAddress"/>
    <w:rsid w:val="000C311C"/>
    <w:rPr>
      <w:rFonts w:ascii="Courier" w:hAnsi="Courier"/>
      <w:i/>
      <w:iCs/>
    </w:rPr>
  </w:style>
  <w:style w:type="paragraph" w:styleId="Index1">
    <w:name w:val="index 1"/>
    <w:basedOn w:val="Normal"/>
    <w:next w:val="Normal"/>
    <w:autoRedefine/>
    <w:rsid w:val="000C311C"/>
    <w:pPr>
      <w:widowControl w:val="0"/>
      <w:autoSpaceDE w:val="0"/>
      <w:autoSpaceDN w:val="0"/>
      <w:adjustRightInd w:val="0"/>
      <w:spacing w:line="240" w:lineRule="auto"/>
      <w:ind w:left="200" w:hanging="200"/>
    </w:pPr>
    <w:rPr>
      <w:rFonts w:ascii="Courier" w:hAnsi="Courier"/>
      <w:sz w:val="20"/>
      <w:szCs w:val="20"/>
    </w:rPr>
  </w:style>
  <w:style w:type="paragraph" w:styleId="Index2">
    <w:name w:val="index 2"/>
    <w:basedOn w:val="Normal"/>
    <w:next w:val="Normal"/>
    <w:autoRedefine/>
    <w:rsid w:val="000C311C"/>
    <w:pPr>
      <w:widowControl w:val="0"/>
      <w:autoSpaceDE w:val="0"/>
      <w:autoSpaceDN w:val="0"/>
      <w:adjustRightInd w:val="0"/>
      <w:spacing w:line="240" w:lineRule="auto"/>
      <w:ind w:left="400" w:hanging="200"/>
    </w:pPr>
    <w:rPr>
      <w:rFonts w:ascii="Courier" w:hAnsi="Courier"/>
      <w:sz w:val="20"/>
      <w:szCs w:val="20"/>
    </w:rPr>
  </w:style>
  <w:style w:type="paragraph" w:styleId="Index3">
    <w:name w:val="index 3"/>
    <w:basedOn w:val="Normal"/>
    <w:next w:val="Normal"/>
    <w:autoRedefine/>
    <w:rsid w:val="000C311C"/>
    <w:pPr>
      <w:widowControl w:val="0"/>
      <w:autoSpaceDE w:val="0"/>
      <w:autoSpaceDN w:val="0"/>
      <w:adjustRightInd w:val="0"/>
      <w:spacing w:line="240" w:lineRule="auto"/>
      <w:ind w:left="600" w:hanging="200"/>
    </w:pPr>
    <w:rPr>
      <w:rFonts w:ascii="Courier" w:hAnsi="Courier"/>
      <w:sz w:val="20"/>
      <w:szCs w:val="20"/>
    </w:rPr>
  </w:style>
  <w:style w:type="paragraph" w:styleId="Index4">
    <w:name w:val="index 4"/>
    <w:basedOn w:val="Normal"/>
    <w:next w:val="Normal"/>
    <w:autoRedefine/>
    <w:rsid w:val="000C311C"/>
    <w:pPr>
      <w:widowControl w:val="0"/>
      <w:autoSpaceDE w:val="0"/>
      <w:autoSpaceDN w:val="0"/>
      <w:adjustRightInd w:val="0"/>
      <w:spacing w:line="240" w:lineRule="auto"/>
      <w:ind w:left="800" w:hanging="200"/>
    </w:pPr>
    <w:rPr>
      <w:rFonts w:ascii="Courier" w:hAnsi="Courier"/>
      <w:sz w:val="20"/>
      <w:szCs w:val="20"/>
    </w:rPr>
  </w:style>
  <w:style w:type="paragraph" w:styleId="Index5">
    <w:name w:val="index 5"/>
    <w:basedOn w:val="Normal"/>
    <w:next w:val="Normal"/>
    <w:autoRedefine/>
    <w:rsid w:val="000C311C"/>
    <w:pPr>
      <w:widowControl w:val="0"/>
      <w:autoSpaceDE w:val="0"/>
      <w:autoSpaceDN w:val="0"/>
      <w:adjustRightInd w:val="0"/>
      <w:spacing w:line="240" w:lineRule="auto"/>
      <w:ind w:left="1000" w:hanging="200"/>
    </w:pPr>
    <w:rPr>
      <w:rFonts w:ascii="Courier" w:hAnsi="Courier"/>
      <w:sz w:val="20"/>
      <w:szCs w:val="20"/>
    </w:rPr>
  </w:style>
  <w:style w:type="paragraph" w:styleId="Index6">
    <w:name w:val="index 6"/>
    <w:basedOn w:val="Normal"/>
    <w:next w:val="Normal"/>
    <w:autoRedefine/>
    <w:rsid w:val="000C311C"/>
    <w:pPr>
      <w:widowControl w:val="0"/>
      <w:autoSpaceDE w:val="0"/>
      <w:autoSpaceDN w:val="0"/>
      <w:adjustRightInd w:val="0"/>
      <w:spacing w:line="240" w:lineRule="auto"/>
      <w:ind w:left="1200" w:hanging="200"/>
    </w:pPr>
    <w:rPr>
      <w:rFonts w:ascii="Courier" w:hAnsi="Courier"/>
      <w:sz w:val="20"/>
      <w:szCs w:val="20"/>
    </w:rPr>
  </w:style>
  <w:style w:type="paragraph" w:styleId="Index7">
    <w:name w:val="index 7"/>
    <w:basedOn w:val="Normal"/>
    <w:next w:val="Normal"/>
    <w:autoRedefine/>
    <w:rsid w:val="000C311C"/>
    <w:pPr>
      <w:widowControl w:val="0"/>
      <w:autoSpaceDE w:val="0"/>
      <w:autoSpaceDN w:val="0"/>
      <w:adjustRightInd w:val="0"/>
      <w:spacing w:line="240" w:lineRule="auto"/>
      <w:ind w:left="1400" w:hanging="200"/>
    </w:pPr>
    <w:rPr>
      <w:rFonts w:ascii="Courier" w:hAnsi="Courier"/>
      <w:sz w:val="20"/>
      <w:szCs w:val="20"/>
    </w:rPr>
  </w:style>
  <w:style w:type="paragraph" w:styleId="Index8">
    <w:name w:val="index 8"/>
    <w:basedOn w:val="Normal"/>
    <w:next w:val="Normal"/>
    <w:autoRedefine/>
    <w:rsid w:val="000C311C"/>
    <w:pPr>
      <w:widowControl w:val="0"/>
      <w:autoSpaceDE w:val="0"/>
      <w:autoSpaceDN w:val="0"/>
      <w:adjustRightInd w:val="0"/>
      <w:spacing w:line="240" w:lineRule="auto"/>
      <w:ind w:left="1600" w:hanging="200"/>
    </w:pPr>
    <w:rPr>
      <w:rFonts w:ascii="Courier" w:hAnsi="Courier"/>
      <w:sz w:val="20"/>
      <w:szCs w:val="20"/>
    </w:rPr>
  </w:style>
  <w:style w:type="paragraph" w:styleId="Index9">
    <w:name w:val="index 9"/>
    <w:basedOn w:val="Normal"/>
    <w:next w:val="Normal"/>
    <w:autoRedefine/>
    <w:rsid w:val="000C311C"/>
    <w:pPr>
      <w:widowControl w:val="0"/>
      <w:autoSpaceDE w:val="0"/>
      <w:autoSpaceDN w:val="0"/>
      <w:adjustRightInd w:val="0"/>
      <w:spacing w:line="240" w:lineRule="auto"/>
      <w:ind w:left="1800" w:hanging="200"/>
    </w:pPr>
    <w:rPr>
      <w:rFonts w:ascii="Courier" w:hAnsi="Courier"/>
      <w:sz w:val="20"/>
      <w:szCs w:val="20"/>
    </w:rPr>
  </w:style>
  <w:style w:type="paragraph" w:styleId="IndexHeading">
    <w:name w:val="index heading"/>
    <w:basedOn w:val="Normal"/>
    <w:next w:val="Index1"/>
    <w:rsid w:val="000C311C"/>
    <w:pPr>
      <w:widowControl w:val="0"/>
      <w:autoSpaceDE w:val="0"/>
      <w:autoSpaceDN w:val="0"/>
      <w:adjustRightInd w:val="0"/>
      <w:spacing w:line="240" w:lineRule="auto"/>
    </w:pPr>
    <w:rPr>
      <w:rFonts w:ascii="Arial" w:hAnsi="Arial" w:cs="Arial"/>
      <w:b/>
      <w:bCs/>
      <w:sz w:val="20"/>
      <w:szCs w:val="20"/>
    </w:rPr>
  </w:style>
  <w:style w:type="paragraph" w:styleId="ListContinue4">
    <w:name w:val="List Continue 4"/>
    <w:basedOn w:val="Normal"/>
    <w:rsid w:val="000C311C"/>
    <w:pPr>
      <w:widowControl w:val="0"/>
      <w:autoSpaceDE w:val="0"/>
      <w:autoSpaceDN w:val="0"/>
      <w:adjustRightInd w:val="0"/>
      <w:spacing w:after="120" w:line="240" w:lineRule="auto"/>
      <w:ind w:left="1440"/>
    </w:pPr>
    <w:rPr>
      <w:rFonts w:ascii="Courier" w:hAnsi="Courier"/>
      <w:sz w:val="20"/>
      <w:szCs w:val="20"/>
    </w:rPr>
  </w:style>
  <w:style w:type="paragraph" w:styleId="ListContinue5">
    <w:name w:val="List Continue 5"/>
    <w:basedOn w:val="Normal"/>
    <w:rsid w:val="000C311C"/>
    <w:pPr>
      <w:widowControl w:val="0"/>
      <w:autoSpaceDE w:val="0"/>
      <w:autoSpaceDN w:val="0"/>
      <w:adjustRightInd w:val="0"/>
      <w:spacing w:after="120" w:line="240" w:lineRule="auto"/>
      <w:ind w:left="1800"/>
    </w:pPr>
    <w:rPr>
      <w:rFonts w:ascii="Courier" w:hAnsi="Courier"/>
      <w:sz w:val="20"/>
      <w:szCs w:val="20"/>
    </w:rPr>
  </w:style>
  <w:style w:type="paragraph" w:styleId="ListNumber2">
    <w:name w:val="List Number 2"/>
    <w:basedOn w:val="Normal"/>
    <w:rsid w:val="005C4723"/>
    <w:pPr>
      <w:widowControl w:val="0"/>
      <w:numPr>
        <w:numId w:val="1"/>
      </w:numPr>
      <w:tabs>
        <w:tab w:val="clear" w:pos="360"/>
        <w:tab w:val="num" w:pos="720"/>
      </w:tabs>
      <w:autoSpaceDE w:val="0"/>
      <w:autoSpaceDN w:val="0"/>
      <w:adjustRightInd w:val="0"/>
      <w:spacing w:line="240" w:lineRule="auto"/>
      <w:ind w:left="720"/>
    </w:pPr>
    <w:rPr>
      <w:rFonts w:ascii="Courier" w:hAnsi="Courier"/>
      <w:sz w:val="20"/>
      <w:szCs w:val="20"/>
    </w:rPr>
  </w:style>
  <w:style w:type="paragraph" w:styleId="ListNumber3">
    <w:name w:val="List Number 3"/>
    <w:basedOn w:val="Normal"/>
    <w:rsid w:val="005C4723"/>
    <w:pPr>
      <w:widowControl w:val="0"/>
      <w:numPr>
        <w:numId w:val="2"/>
      </w:numPr>
      <w:tabs>
        <w:tab w:val="clear" w:pos="720"/>
        <w:tab w:val="num" w:pos="1080"/>
      </w:tabs>
      <w:autoSpaceDE w:val="0"/>
      <w:autoSpaceDN w:val="0"/>
      <w:adjustRightInd w:val="0"/>
      <w:spacing w:line="240" w:lineRule="auto"/>
      <w:ind w:left="1080"/>
    </w:pPr>
    <w:rPr>
      <w:rFonts w:ascii="Courier" w:hAnsi="Courier"/>
      <w:sz w:val="20"/>
      <w:szCs w:val="20"/>
    </w:rPr>
  </w:style>
  <w:style w:type="paragraph" w:styleId="ListNumber4">
    <w:name w:val="List Number 4"/>
    <w:basedOn w:val="Normal"/>
    <w:rsid w:val="005C4723"/>
    <w:pPr>
      <w:widowControl w:val="0"/>
      <w:numPr>
        <w:numId w:val="3"/>
      </w:numPr>
      <w:tabs>
        <w:tab w:val="clear" w:pos="1080"/>
        <w:tab w:val="num" w:pos="1440"/>
      </w:tabs>
      <w:autoSpaceDE w:val="0"/>
      <w:autoSpaceDN w:val="0"/>
      <w:adjustRightInd w:val="0"/>
      <w:spacing w:line="240" w:lineRule="auto"/>
      <w:ind w:left="1440"/>
    </w:pPr>
    <w:rPr>
      <w:rFonts w:ascii="Courier" w:hAnsi="Courier"/>
      <w:sz w:val="20"/>
      <w:szCs w:val="20"/>
    </w:rPr>
  </w:style>
  <w:style w:type="paragraph" w:styleId="ListNumber5">
    <w:name w:val="List Number 5"/>
    <w:basedOn w:val="Normal"/>
    <w:rsid w:val="005C4723"/>
    <w:pPr>
      <w:widowControl w:val="0"/>
      <w:numPr>
        <w:numId w:val="4"/>
      </w:numPr>
      <w:tabs>
        <w:tab w:val="clear" w:pos="1440"/>
        <w:tab w:val="num" w:pos="1800"/>
      </w:tabs>
      <w:autoSpaceDE w:val="0"/>
      <w:autoSpaceDN w:val="0"/>
      <w:adjustRightInd w:val="0"/>
      <w:spacing w:line="240" w:lineRule="auto"/>
      <w:ind w:left="1800"/>
    </w:pPr>
    <w:rPr>
      <w:rFonts w:ascii="Courier" w:hAnsi="Courier"/>
      <w:sz w:val="20"/>
      <w:szCs w:val="20"/>
    </w:rPr>
  </w:style>
  <w:style w:type="paragraph" w:styleId="MacroText">
    <w:name w:val="macro"/>
    <w:link w:val="MacroTextChar"/>
    <w:rsid w:val="005C4723"/>
    <w:pPr>
      <w:widowControl w:val="0"/>
      <w:numPr>
        <w:numId w:val="5"/>
      </w:numPr>
      <w:tabs>
        <w:tab w:val="clear" w:pos="1800"/>
        <w:tab w:val="left" w:pos="480"/>
        <w:tab w:val="left" w:pos="960"/>
        <w:tab w:val="left" w:pos="1440"/>
        <w:tab w:val="left" w:pos="1920"/>
        <w:tab w:val="left" w:pos="2400"/>
        <w:tab w:val="left" w:pos="2880"/>
        <w:tab w:val="left" w:pos="3360"/>
        <w:tab w:val="left" w:pos="3840"/>
        <w:tab w:val="left" w:pos="4320"/>
      </w:tabs>
      <w:autoSpaceDE w:val="0"/>
      <w:autoSpaceDN w:val="0"/>
      <w:adjustRightInd w:val="0"/>
      <w:ind w:left="0" w:firstLine="0"/>
    </w:pPr>
    <w:rPr>
      <w:rFonts w:ascii="Courier New" w:hAnsi="Courier New" w:cs="Courier New"/>
    </w:rPr>
  </w:style>
  <w:style w:type="character" w:customStyle="1" w:styleId="MacroTextChar">
    <w:name w:val="Macro Text Char"/>
    <w:basedOn w:val="DefaultParagraphFont"/>
    <w:link w:val="MacroText"/>
    <w:rsid w:val="005C4723"/>
    <w:rPr>
      <w:rFonts w:ascii="Courier New" w:hAnsi="Courier New" w:cs="Courier New"/>
    </w:rPr>
  </w:style>
  <w:style w:type="paragraph" w:styleId="MessageHeader">
    <w:name w:val="Message Header"/>
    <w:basedOn w:val="Normal"/>
    <w:link w:val="MessageHeaderChar"/>
    <w:rsid w:val="000C311C"/>
    <w:pPr>
      <w:widowControl w:val="0"/>
      <w:pBdr>
        <w:top w:val="single" w:sz="6" w:space="1" w:color="auto"/>
        <w:left w:val="single" w:sz="6" w:space="1" w:color="auto"/>
        <w:bottom w:val="single" w:sz="6" w:space="1" w:color="auto"/>
        <w:right w:val="single" w:sz="6" w:space="1" w:color="auto"/>
      </w:pBdr>
      <w:shd w:val="pct20" w:color="auto" w:fill="auto"/>
      <w:autoSpaceDE w:val="0"/>
      <w:autoSpaceDN w:val="0"/>
      <w:adjustRightInd w:val="0"/>
      <w:spacing w:line="240" w:lineRule="auto"/>
      <w:ind w:left="1080" w:hanging="1080"/>
    </w:pPr>
    <w:rPr>
      <w:rFonts w:ascii="Arial" w:hAnsi="Arial" w:cs="Arial"/>
    </w:rPr>
  </w:style>
  <w:style w:type="character" w:customStyle="1" w:styleId="MessageHeaderChar">
    <w:name w:val="Message Header Char"/>
    <w:basedOn w:val="DefaultParagraphFont"/>
    <w:link w:val="MessageHeader"/>
    <w:rsid w:val="000C311C"/>
    <w:rPr>
      <w:rFonts w:ascii="Arial" w:hAnsi="Arial" w:cs="Arial"/>
      <w:sz w:val="24"/>
      <w:szCs w:val="24"/>
      <w:shd w:val="pct20" w:color="auto" w:fill="auto"/>
    </w:rPr>
  </w:style>
  <w:style w:type="paragraph" w:styleId="NormalWeb">
    <w:name w:val="Normal (Web)"/>
    <w:basedOn w:val="Normal"/>
    <w:uiPriority w:val="99"/>
    <w:rsid w:val="000C311C"/>
    <w:pPr>
      <w:widowControl w:val="0"/>
      <w:autoSpaceDE w:val="0"/>
      <w:autoSpaceDN w:val="0"/>
      <w:adjustRightInd w:val="0"/>
      <w:spacing w:line="240" w:lineRule="auto"/>
    </w:pPr>
  </w:style>
  <w:style w:type="paragraph" w:styleId="NormalIndent">
    <w:name w:val="Normal Indent"/>
    <w:basedOn w:val="Normal"/>
    <w:rsid w:val="000C311C"/>
    <w:pPr>
      <w:widowControl w:val="0"/>
      <w:autoSpaceDE w:val="0"/>
      <w:autoSpaceDN w:val="0"/>
      <w:adjustRightInd w:val="0"/>
      <w:spacing w:line="240" w:lineRule="auto"/>
      <w:ind w:left="720"/>
    </w:pPr>
    <w:rPr>
      <w:rFonts w:ascii="Courier" w:hAnsi="Courier"/>
      <w:sz w:val="20"/>
      <w:szCs w:val="20"/>
    </w:rPr>
  </w:style>
  <w:style w:type="paragraph" w:styleId="NoteHeading">
    <w:name w:val="Note Heading"/>
    <w:basedOn w:val="Normal"/>
    <w:next w:val="Normal"/>
    <w:link w:val="NoteHeadingChar"/>
    <w:rsid w:val="000C311C"/>
    <w:pPr>
      <w:widowControl w:val="0"/>
      <w:autoSpaceDE w:val="0"/>
      <w:autoSpaceDN w:val="0"/>
      <w:adjustRightInd w:val="0"/>
      <w:spacing w:line="240" w:lineRule="auto"/>
    </w:pPr>
    <w:rPr>
      <w:rFonts w:ascii="Courier" w:hAnsi="Courier"/>
      <w:sz w:val="20"/>
      <w:szCs w:val="20"/>
    </w:rPr>
  </w:style>
  <w:style w:type="character" w:customStyle="1" w:styleId="NoteHeadingChar">
    <w:name w:val="Note Heading Char"/>
    <w:basedOn w:val="DefaultParagraphFont"/>
    <w:link w:val="NoteHeading"/>
    <w:rsid w:val="000C311C"/>
    <w:rPr>
      <w:rFonts w:ascii="Courier" w:hAnsi="Courier"/>
    </w:rPr>
  </w:style>
  <w:style w:type="paragraph" w:styleId="PlainText">
    <w:name w:val="Plain Text"/>
    <w:basedOn w:val="Normal"/>
    <w:link w:val="PlainTextChar"/>
    <w:rsid w:val="000C311C"/>
    <w:pPr>
      <w:widowControl w:val="0"/>
      <w:autoSpaceDE w:val="0"/>
      <w:autoSpaceDN w:val="0"/>
      <w:adjustRightInd w:val="0"/>
      <w:spacing w:line="240" w:lineRule="auto"/>
    </w:pPr>
    <w:rPr>
      <w:rFonts w:ascii="Courier New" w:hAnsi="Courier New" w:cs="Courier New"/>
      <w:sz w:val="20"/>
      <w:szCs w:val="20"/>
    </w:rPr>
  </w:style>
  <w:style w:type="character" w:customStyle="1" w:styleId="PlainTextChar">
    <w:name w:val="Plain Text Char"/>
    <w:basedOn w:val="DefaultParagraphFont"/>
    <w:link w:val="PlainText"/>
    <w:uiPriority w:val="99"/>
    <w:rsid w:val="000C311C"/>
    <w:rPr>
      <w:rFonts w:ascii="Courier New" w:hAnsi="Courier New" w:cs="Courier New"/>
    </w:rPr>
  </w:style>
  <w:style w:type="paragraph" w:styleId="Salutation">
    <w:name w:val="Salutation"/>
    <w:basedOn w:val="Normal"/>
    <w:next w:val="Normal"/>
    <w:link w:val="SalutationChar"/>
    <w:rsid w:val="000C311C"/>
    <w:pPr>
      <w:widowControl w:val="0"/>
      <w:autoSpaceDE w:val="0"/>
      <w:autoSpaceDN w:val="0"/>
      <w:adjustRightInd w:val="0"/>
      <w:spacing w:line="240" w:lineRule="auto"/>
    </w:pPr>
    <w:rPr>
      <w:rFonts w:ascii="Courier" w:hAnsi="Courier"/>
      <w:sz w:val="20"/>
      <w:szCs w:val="20"/>
    </w:rPr>
  </w:style>
  <w:style w:type="character" w:customStyle="1" w:styleId="SalutationChar">
    <w:name w:val="Salutation Char"/>
    <w:basedOn w:val="DefaultParagraphFont"/>
    <w:link w:val="Salutation"/>
    <w:rsid w:val="000C311C"/>
    <w:rPr>
      <w:rFonts w:ascii="Courier" w:hAnsi="Courier"/>
    </w:rPr>
  </w:style>
  <w:style w:type="paragraph" w:styleId="Signature">
    <w:name w:val="Signature"/>
    <w:basedOn w:val="Normal"/>
    <w:link w:val="SignatureChar"/>
    <w:rsid w:val="000C311C"/>
    <w:pPr>
      <w:widowControl w:val="0"/>
      <w:autoSpaceDE w:val="0"/>
      <w:autoSpaceDN w:val="0"/>
      <w:adjustRightInd w:val="0"/>
      <w:spacing w:line="240" w:lineRule="auto"/>
      <w:ind w:left="4320"/>
    </w:pPr>
    <w:rPr>
      <w:rFonts w:ascii="Courier" w:hAnsi="Courier"/>
      <w:sz w:val="20"/>
      <w:szCs w:val="20"/>
    </w:rPr>
  </w:style>
  <w:style w:type="character" w:customStyle="1" w:styleId="SignatureChar">
    <w:name w:val="Signature Char"/>
    <w:basedOn w:val="DefaultParagraphFont"/>
    <w:link w:val="Signature"/>
    <w:rsid w:val="000C311C"/>
    <w:rPr>
      <w:rFonts w:ascii="Courier" w:hAnsi="Courier"/>
    </w:rPr>
  </w:style>
  <w:style w:type="paragraph" w:styleId="Subtitle">
    <w:name w:val="Subtitle"/>
    <w:basedOn w:val="Normal"/>
    <w:link w:val="SubtitleChar"/>
    <w:qFormat/>
    <w:rsid w:val="000C311C"/>
    <w:pPr>
      <w:widowControl w:val="0"/>
      <w:autoSpaceDE w:val="0"/>
      <w:autoSpaceDN w:val="0"/>
      <w:adjustRightInd w:val="0"/>
      <w:spacing w:after="60" w:line="240" w:lineRule="auto"/>
      <w:jc w:val="center"/>
      <w:outlineLvl w:val="1"/>
    </w:pPr>
    <w:rPr>
      <w:rFonts w:ascii="Arial" w:hAnsi="Arial" w:cs="Arial"/>
    </w:rPr>
  </w:style>
  <w:style w:type="character" w:customStyle="1" w:styleId="SubtitleChar">
    <w:name w:val="Subtitle Char"/>
    <w:basedOn w:val="DefaultParagraphFont"/>
    <w:link w:val="Subtitle"/>
    <w:rsid w:val="000C311C"/>
    <w:rPr>
      <w:rFonts w:ascii="Arial" w:hAnsi="Arial" w:cs="Arial"/>
      <w:sz w:val="24"/>
      <w:szCs w:val="24"/>
    </w:rPr>
  </w:style>
  <w:style w:type="paragraph" w:styleId="TableofAuthorities">
    <w:name w:val="table of authorities"/>
    <w:basedOn w:val="Normal"/>
    <w:next w:val="Normal"/>
    <w:rsid w:val="000C311C"/>
    <w:pPr>
      <w:widowControl w:val="0"/>
      <w:autoSpaceDE w:val="0"/>
      <w:autoSpaceDN w:val="0"/>
      <w:adjustRightInd w:val="0"/>
      <w:spacing w:line="240" w:lineRule="auto"/>
      <w:ind w:left="200" w:hanging="200"/>
    </w:pPr>
    <w:rPr>
      <w:rFonts w:ascii="Courier" w:hAnsi="Courier"/>
      <w:sz w:val="20"/>
      <w:szCs w:val="20"/>
    </w:rPr>
  </w:style>
  <w:style w:type="paragraph" w:styleId="TableofFigures">
    <w:name w:val="table of figures"/>
    <w:basedOn w:val="Normal"/>
    <w:next w:val="Normal"/>
    <w:rsid w:val="000C311C"/>
    <w:pPr>
      <w:widowControl w:val="0"/>
      <w:autoSpaceDE w:val="0"/>
      <w:autoSpaceDN w:val="0"/>
      <w:adjustRightInd w:val="0"/>
      <w:spacing w:line="240" w:lineRule="auto"/>
      <w:ind w:left="400" w:hanging="400"/>
    </w:pPr>
    <w:rPr>
      <w:rFonts w:ascii="Courier" w:hAnsi="Courier"/>
      <w:sz w:val="20"/>
      <w:szCs w:val="20"/>
    </w:rPr>
  </w:style>
  <w:style w:type="paragraph" w:styleId="Title">
    <w:name w:val="Title"/>
    <w:basedOn w:val="Normal"/>
    <w:link w:val="TitleChar"/>
    <w:qFormat/>
    <w:rsid w:val="000C311C"/>
    <w:pPr>
      <w:widowControl w:val="0"/>
      <w:autoSpaceDE w:val="0"/>
      <w:autoSpaceDN w:val="0"/>
      <w:adjustRightInd w:val="0"/>
      <w:spacing w:before="240" w:after="60" w:line="240" w:lineRule="auto"/>
      <w:jc w:val="center"/>
      <w:outlineLvl w:val="0"/>
    </w:pPr>
    <w:rPr>
      <w:rFonts w:ascii="Arial" w:hAnsi="Arial" w:cs="Arial"/>
      <w:b/>
      <w:bCs/>
      <w:kern w:val="28"/>
      <w:sz w:val="32"/>
      <w:szCs w:val="32"/>
    </w:rPr>
  </w:style>
  <w:style w:type="character" w:customStyle="1" w:styleId="TitleChar">
    <w:name w:val="Title Char"/>
    <w:basedOn w:val="DefaultParagraphFont"/>
    <w:link w:val="Title"/>
    <w:rsid w:val="000C311C"/>
    <w:rPr>
      <w:rFonts w:ascii="Arial" w:hAnsi="Arial" w:cs="Arial"/>
      <w:b/>
      <w:bCs/>
      <w:kern w:val="28"/>
      <w:sz w:val="32"/>
      <w:szCs w:val="32"/>
    </w:rPr>
  </w:style>
  <w:style w:type="paragraph" w:styleId="TOAHeading">
    <w:name w:val="toa heading"/>
    <w:basedOn w:val="Normal"/>
    <w:next w:val="Normal"/>
    <w:rsid w:val="000C311C"/>
    <w:pPr>
      <w:widowControl w:val="0"/>
      <w:autoSpaceDE w:val="0"/>
      <w:autoSpaceDN w:val="0"/>
      <w:adjustRightInd w:val="0"/>
      <w:spacing w:before="120" w:line="240" w:lineRule="auto"/>
    </w:pPr>
    <w:rPr>
      <w:rFonts w:ascii="Arial" w:hAnsi="Arial" w:cs="Arial"/>
      <w:b/>
      <w:bCs/>
    </w:rPr>
  </w:style>
  <w:style w:type="paragraph" w:styleId="TOC1">
    <w:name w:val="toc 1"/>
    <w:basedOn w:val="Normal"/>
    <w:next w:val="Normal"/>
    <w:autoRedefine/>
    <w:rsid w:val="000C311C"/>
    <w:pPr>
      <w:widowControl w:val="0"/>
      <w:autoSpaceDE w:val="0"/>
      <w:autoSpaceDN w:val="0"/>
      <w:adjustRightInd w:val="0"/>
      <w:spacing w:line="240" w:lineRule="auto"/>
    </w:pPr>
    <w:rPr>
      <w:rFonts w:ascii="Courier" w:hAnsi="Courier"/>
      <w:sz w:val="20"/>
      <w:szCs w:val="20"/>
    </w:rPr>
  </w:style>
  <w:style w:type="paragraph" w:styleId="TOC2">
    <w:name w:val="toc 2"/>
    <w:basedOn w:val="Normal"/>
    <w:next w:val="Normal"/>
    <w:autoRedefine/>
    <w:rsid w:val="000C311C"/>
    <w:pPr>
      <w:widowControl w:val="0"/>
      <w:autoSpaceDE w:val="0"/>
      <w:autoSpaceDN w:val="0"/>
      <w:adjustRightInd w:val="0"/>
      <w:spacing w:line="240" w:lineRule="auto"/>
      <w:ind w:left="200"/>
    </w:pPr>
    <w:rPr>
      <w:rFonts w:ascii="Courier" w:hAnsi="Courier"/>
      <w:sz w:val="20"/>
      <w:szCs w:val="20"/>
    </w:rPr>
  </w:style>
  <w:style w:type="paragraph" w:styleId="TOC3">
    <w:name w:val="toc 3"/>
    <w:basedOn w:val="Normal"/>
    <w:next w:val="Normal"/>
    <w:autoRedefine/>
    <w:rsid w:val="000C311C"/>
    <w:pPr>
      <w:widowControl w:val="0"/>
      <w:autoSpaceDE w:val="0"/>
      <w:autoSpaceDN w:val="0"/>
      <w:adjustRightInd w:val="0"/>
      <w:spacing w:line="240" w:lineRule="auto"/>
      <w:ind w:left="400"/>
    </w:pPr>
    <w:rPr>
      <w:rFonts w:ascii="Courier" w:hAnsi="Courier"/>
      <w:sz w:val="20"/>
      <w:szCs w:val="20"/>
    </w:rPr>
  </w:style>
  <w:style w:type="paragraph" w:styleId="TOC4">
    <w:name w:val="toc 4"/>
    <w:basedOn w:val="Normal"/>
    <w:next w:val="Normal"/>
    <w:autoRedefine/>
    <w:rsid w:val="000C311C"/>
    <w:pPr>
      <w:widowControl w:val="0"/>
      <w:autoSpaceDE w:val="0"/>
      <w:autoSpaceDN w:val="0"/>
      <w:adjustRightInd w:val="0"/>
      <w:spacing w:line="240" w:lineRule="auto"/>
      <w:ind w:left="600"/>
    </w:pPr>
    <w:rPr>
      <w:rFonts w:ascii="Courier" w:hAnsi="Courier"/>
      <w:sz w:val="20"/>
      <w:szCs w:val="20"/>
    </w:rPr>
  </w:style>
  <w:style w:type="paragraph" w:styleId="TOC5">
    <w:name w:val="toc 5"/>
    <w:basedOn w:val="Normal"/>
    <w:next w:val="Normal"/>
    <w:autoRedefine/>
    <w:rsid w:val="000C311C"/>
    <w:pPr>
      <w:widowControl w:val="0"/>
      <w:autoSpaceDE w:val="0"/>
      <w:autoSpaceDN w:val="0"/>
      <w:adjustRightInd w:val="0"/>
      <w:spacing w:line="240" w:lineRule="auto"/>
      <w:ind w:left="800"/>
    </w:pPr>
    <w:rPr>
      <w:rFonts w:ascii="Courier" w:hAnsi="Courier"/>
      <w:sz w:val="20"/>
      <w:szCs w:val="20"/>
    </w:rPr>
  </w:style>
  <w:style w:type="paragraph" w:styleId="TOC6">
    <w:name w:val="toc 6"/>
    <w:basedOn w:val="Normal"/>
    <w:next w:val="Normal"/>
    <w:autoRedefine/>
    <w:rsid w:val="000C311C"/>
    <w:pPr>
      <w:widowControl w:val="0"/>
      <w:autoSpaceDE w:val="0"/>
      <w:autoSpaceDN w:val="0"/>
      <w:adjustRightInd w:val="0"/>
      <w:spacing w:line="240" w:lineRule="auto"/>
      <w:ind w:left="1000"/>
    </w:pPr>
    <w:rPr>
      <w:rFonts w:ascii="Courier" w:hAnsi="Courier"/>
      <w:sz w:val="20"/>
      <w:szCs w:val="20"/>
    </w:rPr>
  </w:style>
  <w:style w:type="paragraph" w:styleId="TOC7">
    <w:name w:val="toc 7"/>
    <w:basedOn w:val="Normal"/>
    <w:next w:val="Normal"/>
    <w:autoRedefine/>
    <w:rsid w:val="000C311C"/>
    <w:pPr>
      <w:widowControl w:val="0"/>
      <w:autoSpaceDE w:val="0"/>
      <w:autoSpaceDN w:val="0"/>
      <w:adjustRightInd w:val="0"/>
      <w:spacing w:line="240" w:lineRule="auto"/>
      <w:ind w:left="1200"/>
    </w:pPr>
    <w:rPr>
      <w:rFonts w:ascii="Courier" w:hAnsi="Courier"/>
      <w:sz w:val="20"/>
      <w:szCs w:val="20"/>
    </w:rPr>
  </w:style>
  <w:style w:type="paragraph" w:styleId="TOC8">
    <w:name w:val="toc 8"/>
    <w:basedOn w:val="Normal"/>
    <w:next w:val="Normal"/>
    <w:autoRedefine/>
    <w:rsid w:val="000C311C"/>
    <w:pPr>
      <w:widowControl w:val="0"/>
      <w:autoSpaceDE w:val="0"/>
      <w:autoSpaceDN w:val="0"/>
      <w:adjustRightInd w:val="0"/>
      <w:spacing w:line="240" w:lineRule="auto"/>
      <w:ind w:left="1400"/>
    </w:pPr>
    <w:rPr>
      <w:rFonts w:ascii="Courier" w:hAnsi="Courier"/>
      <w:sz w:val="20"/>
      <w:szCs w:val="20"/>
    </w:rPr>
  </w:style>
  <w:style w:type="paragraph" w:styleId="TOC9">
    <w:name w:val="toc 9"/>
    <w:basedOn w:val="Normal"/>
    <w:next w:val="Normal"/>
    <w:autoRedefine/>
    <w:rsid w:val="000C311C"/>
    <w:pPr>
      <w:widowControl w:val="0"/>
      <w:autoSpaceDE w:val="0"/>
      <w:autoSpaceDN w:val="0"/>
      <w:adjustRightInd w:val="0"/>
      <w:spacing w:line="240" w:lineRule="auto"/>
      <w:ind w:left="1600"/>
    </w:pPr>
    <w:rPr>
      <w:rFonts w:ascii="Courier" w:hAnsi="Courier"/>
      <w:sz w:val="20"/>
      <w:szCs w:val="20"/>
    </w:rPr>
  </w:style>
  <w:style w:type="paragraph" w:customStyle="1" w:styleId="deflevelb">
    <w:name w:val="def level b"/>
    <w:basedOn w:val="LevelA"/>
    <w:rsid w:val="000C311C"/>
    <w:pPr>
      <w:tabs>
        <w:tab w:val="clear" w:pos="360"/>
        <w:tab w:val="clear" w:pos="720"/>
      </w:tabs>
      <w:ind w:left="1080"/>
    </w:pPr>
  </w:style>
  <w:style w:type="character" w:customStyle="1" w:styleId="page-title">
    <w:name w:val="page-title"/>
    <w:basedOn w:val="DefaultParagraphFont"/>
    <w:rsid w:val="000C311C"/>
  </w:style>
  <w:style w:type="paragraph" w:customStyle="1" w:styleId="notation">
    <w:name w:val="notation"/>
    <w:basedOn w:val="LevelA"/>
    <w:rsid w:val="000C311C"/>
    <w:pPr>
      <w:widowControl/>
      <w:pBdr>
        <w:top w:val="single" w:sz="4" w:space="1" w:color="auto"/>
        <w:left w:val="single" w:sz="4" w:space="4" w:color="auto"/>
        <w:bottom w:val="single" w:sz="4" w:space="1" w:color="auto"/>
        <w:right w:val="single" w:sz="4" w:space="4" w:color="auto"/>
      </w:pBdr>
      <w:tabs>
        <w:tab w:val="clear" w:pos="360"/>
      </w:tabs>
      <w:ind w:left="0"/>
    </w:pPr>
    <w:rPr>
      <w:b/>
    </w:rPr>
  </w:style>
  <w:style w:type="character" w:styleId="Strong">
    <w:name w:val="Strong"/>
    <w:basedOn w:val="DefaultParagraphFont"/>
    <w:uiPriority w:val="99"/>
    <w:qFormat/>
    <w:rsid w:val="000C311C"/>
    <w:rPr>
      <w:b/>
    </w:rPr>
  </w:style>
  <w:style w:type="paragraph" w:customStyle="1" w:styleId="Style1">
    <w:name w:val="Style1"/>
    <w:basedOn w:val="Normal"/>
    <w:rsid w:val="00623818"/>
    <w:pPr>
      <w:widowControl w:val="0"/>
      <w:pBdr>
        <w:left w:val="double" w:sz="4" w:space="4" w:color="auto"/>
      </w:pBdr>
      <w:autoSpaceDE w:val="0"/>
      <w:autoSpaceDN w:val="0"/>
      <w:adjustRightInd w:val="0"/>
      <w:spacing w:line="240" w:lineRule="auto"/>
      <w:ind w:left="4320"/>
    </w:pPr>
    <w:rPr>
      <w:rFonts w:ascii="Arial" w:hAnsi="Arial"/>
      <w:sz w:val="20"/>
      <w:szCs w:val="20"/>
    </w:rPr>
  </w:style>
  <w:style w:type="paragraph" w:customStyle="1" w:styleId="NOTE">
    <w:name w:val="NOTE"/>
    <w:basedOn w:val="LevelA"/>
    <w:rsid w:val="000C311C"/>
    <w:pPr>
      <w:ind w:firstLine="0"/>
      <w:jc w:val="both"/>
    </w:pPr>
    <w:rPr>
      <w:rFonts w:ascii="Courier" w:hAnsi="Courier"/>
    </w:rPr>
  </w:style>
  <w:style w:type="character" w:customStyle="1" w:styleId="ti">
    <w:name w:val="ti"/>
    <w:basedOn w:val="DefaultParagraphFont"/>
    <w:rsid w:val="000C311C"/>
  </w:style>
  <w:style w:type="character" w:styleId="EndnoteReference">
    <w:name w:val="endnote reference"/>
    <w:basedOn w:val="DefaultParagraphFont"/>
    <w:uiPriority w:val="99"/>
    <w:rsid w:val="00D13D8D"/>
    <w:rPr>
      <w:rFonts w:cs="Times New Roman"/>
      <w:color w:val="auto"/>
      <w:position w:val="-2"/>
      <w:sz w:val="20"/>
      <w:vertAlign w:val="superscript"/>
    </w:rPr>
  </w:style>
  <w:style w:type="paragraph" w:customStyle="1" w:styleId="bullets">
    <w:name w:val="bullets"/>
    <w:basedOn w:val="BasicParagraph"/>
    <w:qFormat/>
    <w:rsid w:val="005C4723"/>
    <w:pPr>
      <w:numPr>
        <w:numId w:val="7"/>
      </w:numPr>
      <w:spacing w:after="120"/>
      <w:ind w:left="630" w:hanging="270"/>
    </w:pPr>
  </w:style>
  <w:style w:type="character" w:customStyle="1" w:styleId="MessageHeaderLabel">
    <w:name w:val="Message Header Label"/>
    <w:rsid w:val="005159B6"/>
    <w:rPr>
      <w:b/>
      <w:sz w:val="18"/>
    </w:rPr>
  </w:style>
  <w:style w:type="character" w:customStyle="1" w:styleId="Normal1">
    <w:name w:val="Normal1"/>
    <w:basedOn w:val="DefaultParagraphFont"/>
    <w:rsid w:val="005159B6"/>
  </w:style>
  <w:style w:type="paragraph" w:styleId="TOCHeading">
    <w:name w:val="TOC Heading"/>
    <w:basedOn w:val="Heading1"/>
    <w:next w:val="Normal"/>
    <w:rsid w:val="00620EAF"/>
    <w:pPr>
      <w:keepLines/>
      <w:suppressAutoHyphens w:val="0"/>
      <w:spacing w:before="480" w:line="276" w:lineRule="auto"/>
      <w:outlineLvl w:val="9"/>
    </w:pPr>
    <w:rPr>
      <w:rFonts w:ascii="Calibri" w:hAnsi="Calibri"/>
      <w:b/>
      <w:bCs/>
      <w:color w:val="365F91"/>
      <w:kern w:val="0"/>
      <w:sz w:val="28"/>
      <w:szCs w:val="28"/>
    </w:rPr>
  </w:style>
  <w:style w:type="character" w:styleId="HTMLCite">
    <w:name w:val="HTML Cite"/>
    <w:basedOn w:val="DefaultParagraphFont"/>
    <w:rsid w:val="00620EAF"/>
    <w:rPr>
      <w:i/>
      <w:iCs/>
    </w:rPr>
  </w:style>
  <w:style w:type="paragraph" w:customStyle="1" w:styleId="commentsbullets">
    <w:name w:val="comments bullets"/>
    <w:basedOn w:val="commentsbox"/>
    <w:next w:val="commentsbox"/>
    <w:qFormat/>
    <w:rsid w:val="005C4723"/>
    <w:pPr>
      <w:numPr>
        <w:numId w:val="6"/>
      </w:numPr>
      <w:ind w:right="115"/>
    </w:pPr>
  </w:style>
  <w:style w:type="paragraph" w:customStyle="1" w:styleId="endnotessk">
    <w:name w:val="endnotes sk"/>
    <w:basedOn w:val="EndnoteText"/>
    <w:qFormat/>
    <w:rsid w:val="000C3F03"/>
    <w:pPr>
      <w:tabs>
        <w:tab w:val="left" w:pos="180"/>
      </w:tabs>
      <w:spacing w:after="40" w:line="220" w:lineRule="exact"/>
      <w:ind w:left="187" w:hanging="187"/>
    </w:pPr>
    <w:rPr>
      <w:color w:val="auto"/>
    </w:rPr>
  </w:style>
  <w:style w:type="paragraph" w:customStyle="1" w:styleId="urloncover">
    <w:name w:val="url on cover"/>
    <w:basedOn w:val="Heading1"/>
    <w:qFormat/>
    <w:rsid w:val="00157638"/>
    <w:pPr>
      <w:ind w:left="1980"/>
    </w:pPr>
    <w:rPr>
      <w:rFonts w:ascii="Times New Roman" w:hAnsi="Times New Roman"/>
      <w:sz w:val="24"/>
    </w:rPr>
  </w:style>
  <w:style w:type="paragraph" w:customStyle="1" w:styleId="inside-copy">
    <w:name w:val="inside-copy"/>
    <w:basedOn w:val="Normal"/>
    <w:rsid w:val="00325E3A"/>
    <w:pPr>
      <w:spacing w:before="100" w:beforeAutospacing="1" w:after="100" w:afterAutospacing="1" w:line="173" w:lineRule="atLeast"/>
    </w:pPr>
    <w:rPr>
      <w:color w:val="000000"/>
      <w:sz w:val="14"/>
      <w:szCs w:val="14"/>
    </w:rPr>
  </w:style>
  <w:style w:type="paragraph" w:customStyle="1" w:styleId="ColorfulList-Accent11">
    <w:name w:val="Colorful List - Accent 11"/>
    <w:basedOn w:val="Normal"/>
    <w:uiPriority w:val="34"/>
    <w:qFormat/>
    <w:rsid w:val="00325E3A"/>
    <w:pPr>
      <w:spacing w:after="200" w:line="276" w:lineRule="auto"/>
      <w:ind w:left="720"/>
      <w:contextualSpacing/>
    </w:pPr>
    <w:rPr>
      <w:rFonts w:ascii="Calibri" w:eastAsia="Calibri" w:hAnsi="Calibri"/>
      <w:sz w:val="22"/>
      <w:szCs w:val="22"/>
    </w:rPr>
  </w:style>
  <w:style w:type="paragraph" w:customStyle="1" w:styleId="bullets-abc">
    <w:name w:val="bullets-a b c"/>
    <w:basedOn w:val="BasicParagraph"/>
    <w:qFormat/>
    <w:rsid w:val="00E67039"/>
    <w:pPr>
      <w:numPr>
        <w:numId w:val="14"/>
      </w:numPr>
    </w:pPr>
  </w:style>
  <w:style w:type="paragraph" w:styleId="List">
    <w:name w:val="List"/>
    <w:basedOn w:val="Normal"/>
    <w:rsid w:val="00077540"/>
    <w:pPr>
      <w:widowControl w:val="0"/>
      <w:autoSpaceDE w:val="0"/>
      <w:autoSpaceDN w:val="0"/>
      <w:adjustRightInd w:val="0"/>
      <w:spacing w:line="240" w:lineRule="auto"/>
      <w:ind w:left="360" w:hanging="360"/>
    </w:pPr>
    <w:rPr>
      <w:rFonts w:ascii="Courier" w:hAnsi="Courier"/>
      <w:sz w:val="20"/>
      <w:szCs w:val="20"/>
    </w:rPr>
  </w:style>
  <w:style w:type="paragraph" w:styleId="List2">
    <w:name w:val="List 2"/>
    <w:basedOn w:val="Normal"/>
    <w:rsid w:val="00077540"/>
    <w:pPr>
      <w:widowControl w:val="0"/>
      <w:autoSpaceDE w:val="0"/>
      <w:autoSpaceDN w:val="0"/>
      <w:adjustRightInd w:val="0"/>
      <w:spacing w:line="240" w:lineRule="auto"/>
      <w:ind w:left="720" w:hanging="360"/>
    </w:pPr>
    <w:rPr>
      <w:rFonts w:ascii="Courier" w:hAnsi="Courier"/>
      <w:sz w:val="20"/>
      <w:szCs w:val="20"/>
    </w:rPr>
  </w:style>
  <w:style w:type="paragraph" w:styleId="List3">
    <w:name w:val="List 3"/>
    <w:basedOn w:val="Normal"/>
    <w:rsid w:val="00077540"/>
    <w:pPr>
      <w:widowControl w:val="0"/>
      <w:autoSpaceDE w:val="0"/>
      <w:autoSpaceDN w:val="0"/>
      <w:adjustRightInd w:val="0"/>
      <w:spacing w:line="240" w:lineRule="auto"/>
      <w:ind w:left="1080" w:hanging="360"/>
    </w:pPr>
    <w:rPr>
      <w:rFonts w:ascii="Courier" w:hAnsi="Courier"/>
      <w:sz w:val="20"/>
      <w:szCs w:val="20"/>
    </w:rPr>
  </w:style>
  <w:style w:type="paragraph" w:styleId="List4">
    <w:name w:val="List 4"/>
    <w:basedOn w:val="Normal"/>
    <w:rsid w:val="00077540"/>
    <w:pPr>
      <w:widowControl w:val="0"/>
      <w:autoSpaceDE w:val="0"/>
      <w:autoSpaceDN w:val="0"/>
      <w:adjustRightInd w:val="0"/>
      <w:spacing w:line="240" w:lineRule="auto"/>
      <w:ind w:left="1440" w:hanging="360"/>
    </w:pPr>
    <w:rPr>
      <w:rFonts w:ascii="Courier" w:hAnsi="Courier"/>
      <w:sz w:val="20"/>
      <w:szCs w:val="20"/>
    </w:rPr>
  </w:style>
  <w:style w:type="paragraph" w:styleId="List5">
    <w:name w:val="List 5"/>
    <w:basedOn w:val="Normal"/>
    <w:rsid w:val="00077540"/>
    <w:pPr>
      <w:widowControl w:val="0"/>
      <w:autoSpaceDE w:val="0"/>
      <w:autoSpaceDN w:val="0"/>
      <w:adjustRightInd w:val="0"/>
      <w:spacing w:line="240" w:lineRule="auto"/>
      <w:ind w:left="1800" w:hanging="360"/>
    </w:pPr>
    <w:rPr>
      <w:rFonts w:ascii="Courier" w:hAnsi="Courier"/>
      <w:sz w:val="20"/>
      <w:szCs w:val="20"/>
    </w:rPr>
  </w:style>
  <w:style w:type="paragraph" w:styleId="ListBullet">
    <w:name w:val="List Bullet"/>
    <w:basedOn w:val="Normal"/>
    <w:autoRedefine/>
    <w:rsid w:val="005C4723"/>
    <w:pPr>
      <w:widowControl w:val="0"/>
      <w:numPr>
        <w:numId w:val="8"/>
      </w:numPr>
      <w:autoSpaceDE w:val="0"/>
      <w:autoSpaceDN w:val="0"/>
      <w:adjustRightInd w:val="0"/>
      <w:spacing w:line="240" w:lineRule="auto"/>
    </w:pPr>
    <w:rPr>
      <w:rFonts w:ascii="Courier" w:hAnsi="Courier"/>
      <w:sz w:val="20"/>
      <w:szCs w:val="20"/>
    </w:rPr>
  </w:style>
  <w:style w:type="paragraph" w:styleId="ListBullet2">
    <w:name w:val="List Bullet 2"/>
    <w:basedOn w:val="Normal"/>
    <w:autoRedefine/>
    <w:rsid w:val="005C4723"/>
    <w:pPr>
      <w:widowControl w:val="0"/>
      <w:numPr>
        <w:numId w:val="9"/>
      </w:numPr>
      <w:autoSpaceDE w:val="0"/>
      <w:autoSpaceDN w:val="0"/>
      <w:adjustRightInd w:val="0"/>
      <w:spacing w:line="240" w:lineRule="auto"/>
    </w:pPr>
    <w:rPr>
      <w:rFonts w:ascii="Courier" w:hAnsi="Courier"/>
      <w:sz w:val="20"/>
      <w:szCs w:val="20"/>
    </w:rPr>
  </w:style>
  <w:style w:type="paragraph" w:styleId="ListBullet3">
    <w:name w:val="List Bullet 3"/>
    <w:basedOn w:val="Normal"/>
    <w:autoRedefine/>
    <w:rsid w:val="005C4723"/>
    <w:pPr>
      <w:widowControl w:val="0"/>
      <w:numPr>
        <w:numId w:val="10"/>
      </w:numPr>
      <w:autoSpaceDE w:val="0"/>
      <w:autoSpaceDN w:val="0"/>
      <w:adjustRightInd w:val="0"/>
      <w:spacing w:line="240" w:lineRule="auto"/>
    </w:pPr>
    <w:rPr>
      <w:rFonts w:ascii="Courier" w:hAnsi="Courier"/>
      <w:sz w:val="20"/>
      <w:szCs w:val="20"/>
    </w:rPr>
  </w:style>
  <w:style w:type="paragraph" w:styleId="ListBullet4">
    <w:name w:val="List Bullet 4"/>
    <w:basedOn w:val="Normal"/>
    <w:autoRedefine/>
    <w:rsid w:val="005C4723"/>
    <w:pPr>
      <w:widowControl w:val="0"/>
      <w:numPr>
        <w:numId w:val="11"/>
      </w:numPr>
      <w:autoSpaceDE w:val="0"/>
      <w:autoSpaceDN w:val="0"/>
      <w:adjustRightInd w:val="0"/>
      <w:spacing w:line="240" w:lineRule="auto"/>
    </w:pPr>
    <w:rPr>
      <w:rFonts w:ascii="Courier" w:hAnsi="Courier"/>
      <w:sz w:val="20"/>
      <w:szCs w:val="20"/>
    </w:rPr>
  </w:style>
  <w:style w:type="paragraph" w:styleId="ListBullet5">
    <w:name w:val="List Bullet 5"/>
    <w:basedOn w:val="Normal"/>
    <w:autoRedefine/>
    <w:rsid w:val="005C4723"/>
    <w:pPr>
      <w:widowControl w:val="0"/>
      <w:numPr>
        <w:numId w:val="12"/>
      </w:numPr>
      <w:autoSpaceDE w:val="0"/>
      <w:autoSpaceDN w:val="0"/>
      <w:adjustRightInd w:val="0"/>
      <w:spacing w:line="240" w:lineRule="auto"/>
    </w:pPr>
    <w:rPr>
      <w:rFonts w:ascii="Courier" w:hAnsi="Courier"/>
      <w:sz w:val="20"/>
      <w:szCs w:val="20"/>
    </w:rPr>
  </w:style>
  <w:style w:type="paragraph" w:styleId="ListContinue">
    <w:name w:val="List Continue"/>
    <w:basedOn w:val="Normal"/>
    <w:rsid w:val="00077540"/>
    <w:pPr>
      <w:widowControl w:val="0"/>
      <w:autoSpaceDE w:val="0"/>
      <w:autoSpaceDN w:val="0"/>
      <w:adjustRightInd w:val="0"/>
      <w:spacing w:after="120" w:line="240" w:lineRule="auto"/>
      <w:ind w:left="360"/>
    </w:pPr>
    <w:rPr>
      <w:rFonts w:ascii="Courier" w:hAnsi="Courier"/>
      <w:sz w:val="20"/>
      <w:szCs w:val="20"/>
    </w:rPr>
  </w:style>
  <w:style w:type="paragraph" w:styleId="ListContinue2">
    <w:name w:val="List Continue 2"/>
    <w:basedOn w:val="Normal"/>
    <w:rsid w:val="00077540"/>
    <w:pPr>
      <w:widowControl w:val="0"/>
      <w:autoSpaceDE w:val="0"/>
      <w:autoSpaceDN w:val="0"/>
      <w:adjustRightInd w:val="0"/>
      <w:spacing w:after="120" w:line="240" w:lineRule="auto"/>
      <w:ind w:left="720"/>
    </w:pPr>
    <w:rPr>
      <w:rFonts w:ascii="Courier" w:hAnsi="Courier"/>
      <w:sz w:val="20"/>
      <w:szCs w:val="20"/>
    </w:rPr>
  </w:style>
  <w:style w:type="paragraph" w:styleId="ListContinue3">
    <w:name w:val="List Continue 3"/>
    <w:basedOn w:val="Normal"/>
    <w:rsid w:val="00077540"/>
    <w:pPr>
      <w:widowControl w:val="0"/>
      <w:autoSpaceDE w:val="0"/>
      <w:autoSpaceDN w:val="0"/>
      <w:adjustRightInd w:val="0"/>
      <w:spacing w:after="120" w:line="240" w:lineRule="auto"/>
      <w:ind w:left="1080"/>
    </w:pPr>
    <w:rPr>
      <w:rFonts w:ascii="Courier" w:hAnsi="Courier"/>
      <w:sz w:val="20"/>
      <w:szCs w:val="20"/>
    </w:rPr>
  </w:style>
  <w:style w:type="paragraph" w:styleId="ListNumber">
    <w:name w:val="List Number"/>
    <w:basedOn w:val="Normal"/>
    <w:rsid w:val="00077540"/>
    <w:pPr>
      <w:widowControl w:val="0"/>
      <w:tabs>
        <w:tab w:val="num" w:pos="360"/>
      </w:tabs>
      <w:autoSpaceDE w:val="0"/>
      <w:autoSpaceDN w:val="0"/>
      <w:adjustRightInd w:val="0"/>
      <w:spacing w:line="240" w:lineRule="auto"/>
      <w:ind w:left="360" w:hanging="360"/>
    </w:pPr>
    <w:rPr>
      <w:rFonts w:ascii="Courier" w:hAnsi="Courier"/>
      <w:sz w:val="20"/>
      <w:szCs w:val="20"/>
    </w:rPr>
  </w:style>
  <w:style w:type="paragraph" w:customStyle="1" w:styleId="texta-b-c">
    <w:name w:val="text a-b-c"/>
    <w:basedOn w:val="Normal"/>
    <w:rsid w:val="00077540"/>
    <w:pPr>
      <w:ind w:left="720" w:hanging="360"/>
    </w:pPr>
  </w:style>
  <w:style w:type="paragraph" w:customStyle="1" w:styleId="Numbered">
    <w:name w:val="Numbered"/>
    <w:aliases w:val="Left:  1.38&quot;,Hanging:  0.27&quot;"/>
    <w:basedOn w:val="Normal"/>
    <w:rsid w:val="005C4723"/>
    <w:pPr>
      <w:numPr>
        <w:ilvl w:val="2"/>
        <w:numId w:val="13"/>
      </w:numPr>
      <w:spacing w:line="240" w:lineRule="auto"/>
    </w:pPr>
  </w:style>
  <w:style w:type="paragraph" w:styleId="NoSpacing">
    <w:name w:val="No Spacing"/>
    <w:uiPriority w:val="1"/>
    <w:qFormat/>
    <w:rsid w:val="003950F0"/>
    <w:rPr>
      <w:rFonts w:ascii="Calibri" w:eastAsia="Calibri" w:hAnsi="Calibri"/>
      <w:sz w:val="22"/>
      <w:szCs w:val="22"/>
    </w:rPr>
  </w:style>
  <w:style w:type="paragraph" w:customStyle="1" w:styleId="Default">
    <w:name w:val="Default"/>
    <w:rsid w:val="003950F0"/>
    <w:pPr>
      <w:autoSpaceDE w:val="0"/>
      <w:autoSpaceDN w:val="0"/>
      <w:adjustRightInd w:val="0"/>
    </w:pPr>
    <w:rPr>
      <w:rFonts w:ascii="Adobe Garamond Pro" w:hAnsi="Adobe Garamond Pro" w:cs="Adobe Garamond Pro"/>
      <w:color w:val="000000"/>
    </w:rPr>
  </w:style>
  <w:style w:type="character" w:styleId="LineNumber">
    <w:name w:val="line number"/>
    <w:basedOn w:val="DefaultParagraphFont"/>
    <w:rsid w:val="003950F0"/>
  </w:style>
  <w:style w:type="paragraph" w:customStyle="1" w:styleId="bullets1">
    <w:name w:val="bullets (1)"/>
    <w:basedOn w:val="bullets-abc"/>
    <w:qFormat/>
    <w:rsid w:val="00FF3FFA"/>
    <w:pPr>
      <w:numPr>
        <w:numId w:val="16"/>
      </w:numPr>
      <w:spacing w:after="240"/>
    </w:pPr>
  </w:style>
  <w:style w:type="character" w:styleId="FollowedHyperlink">
    <w:name w:val="FollowedHyperlink"/>
    <w:basedOn w:val="DefaultParagraphFont"/>
    <w:uiPriority w:val="99"/>
    <w:rsid w:val="00CC5240"/>
    <w:rPr>
      <w:color w:val="800080"/>
      <w:u w:val="single"/>
    </w:rPr>
  </w:style>
  <w:style w:type="paragraph" w:customStyle="1" w:styleId="--bullets">
    <w:name w:val="(--) bullets"/>
    <w:basedOn w:val="Normal"/>
    <w:qFormat/>
    <w:rsid w:val="00FD56C9"/>
    <w:pPr>
      <w:spacing w:line="288" w:lineRule="auto"/>
      <w:ind w:left="450" w:hanging="450"/>
    </w:pPr>
  </w:style>
  <w:style w:type="table" w:styleId="TableGrid">
    <w:name w:val="Table Grid"/>
    <w:basedOn w:val="TableNormal"/>
    <w:uiPriority w:val="59"/>
    <w:rsid w:val="0052652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unhideWhenUsed/>
    <w:rsid w:val="00526524"/>
    <w:rPr>
      <w:sz w:val="16"/>
      <w:szCs w:val="16"/>
    </w:rPr>
  </w:style>
  <w:style w:type="paragraph" w:styleId="CommentSubject">
    <w:name w:val="annotation subject"/>
    <w:basedOn w:val="CommentText"/>
    <w:next w:val="CommentText"/>
    <w:link w:val="CommentSubjectChar"/>
    <w:uiPriority w:val="99"/>
    <w:unhideWhenUsed/>
    <w:rsid w:val="00526524"/>
    <w:pPr>
      <w:spacing w:after="200" w:line="276" w:lineRule="auto"/>
    </w:pPr>
    <w:rPr>
      <w:rFonts w:ascii="Calibri" w:eastAsia="Calibri" w:hAnsi="Calibri"/>
      <w:b/>
      <w:bCs/>
    </w:rPr>
  </w:style>
  <w:style w:type="character" w:customStyle="1" w:styleId="CommentSubjectChar">
    <w:name w:val="Comment Subject Char"/>
    <w:basedOn w:val="CommentTextChar1"/>
    <w:link w:val="CommentSubject"/>
    <w:uiPriority w:val="99"/>
    <w:rsid w:val="00526524"/>
    <w:rPr>
      <w:rFonts w:ascii="Calibri" w:eastAsia="Calibri" w:hAnsi="Calibri"/>
      <w:b/>
      <w:bCs/>
      <w:sz w:val="20"/>
      <w:szCs w:val="20"/>
    </w:rPr>
  </w:style>
  <w:style w:type="paragraph" w:customStyle="1" w:styleId="Pa14">
    <w:name w:val="Pa14"/>
    <w:basedOn w:val="Normal"/>
    <w:next w:val="Normal"/>
    <w:uiPriority w:val="99"/>
    <w:rsid w:val="00CE2146"/>
    <w:pPr>
      <w:autoSpaceDE w:val="0"/>
      <w:autoSpaceDN w:val="0"/>
      <w:adjustRightInd w:val="0"/>
      <w:spacing w:line="211" w:lineRule="atLeast"/>
    </w:pPr>
    <w:rPr>
      <w:rFonts w:ascii="Adobe Caslon Pro" w:eastAsia="Calibri" w:hAnsi="Adobe Caslon Pro" w:cs="Adobe Caslon Pro"/>
    </w:rPr>
  </w:style>
  <w:style w:type="paragraph" w:customStyle="1" w:styleId="Quote1">
    <w:name w:val="Quote1"/>
    <w:basedOn w:val="Normal"/>
    <w:uiPriority w:val="99"/>
    <w:rsid w:val="00CE2146"/>
    <w:pPr>
      <w:spacing w:before="100" w:beforeAutospacing="1" w:after="100" w:afterAutospacing="1" w:line="240" w:lineRule="auto"/>
    </w:pPr>
  </w:style>
  <w:style w:type="paragraph" w:customStyle="1" w:styleId="Center">
    <w:name w:val="Center"/>
    <w:basedOn w:val="Normal"/>
    <w:uiPriority w:val="99"/>
    <w:rsid w:val="00CE2146"/>
    <w:pPr>
      <w:widowControl w:val="0"/>
      <w:tabs>
        <w:tab w:val="left" w:pos="360"/>
        <w:tab w:val="left" w:pos="720"/>
        <w:tab w:val="left" w:pos="1080"/>
        <w:tab w:val="left" w:pos="1440"/>
        <w:tab w:val="left" w:pos="1800"/>
        <w:tab w:val="left" w:pos="2160"/>
      </w:tabs>
      <w:autoSpaceDE w:val="0"/>
      <w:autoSpaceDN w:val="0"/>
      <w:adjustRightInd w:val="0"/>
      <w:spacing w:line="240" w:lineRule="auto"/>
      <w:jc w:val="center"/>
    </w:pPr>
    <w:rPr>
      <w:rFonts w:ascii="Calibri" w:eastAsia="Calibri" w:hAnsi="Calibri"/>
    </w:rPr>
  </w:style>
  <w:style w:type="paragraph" w:customStyle="1" w:styleId="ColorfulShading-Accent11">
    <w:name w:val="Colorful Shading - Accent 11"/>
    <w:hidden/>
    <w:uiPriority w:val="71"/>
    <w:rsid w:val="00CE2146"/>
    <w:rPr>
      <w:rFonts w:ascii="Calibri" w:eastAsia="Calibri" w:hAnsi="Calibri" w:cs="Calibri"/>
      <w:sz w:val="22"/>
      <w:szCs w:val="22"/>
    </w:rPr>
  </w:style>
  <w:style w:type="paragraph" w:customStyle="1" w:styleId="LightShading-Accent21">
    <w:name w:val="Light Shading - Accent 21"/>
    <w:basedOn w:val="Normal"/>
    <w:next w:val="Normal"/>
    <w:link w:val="LightShading-Accent2Char"/>
    <w:uiPriority w:val="60"/>
    <w:qFormat/>
    <w:rsid w:val="00CE2146"/>
    <w:pPr>
      <w:pBdr>
        <w:bottom w:val="single" w:sz="4" w:space="4" w:color="4F81BD"/>
      </w:pBdr>
      <w:spacing w:before="200" w:after="280" w:line="276" w:lineRule="auto"/>
      <w:ind w:left="936" w:right="936"/>
    </w:pPr>
    <w:rPr>
      <w:rFonts w:ascii="Calibri" w:eastAsia="Calibri" w:hAnsi="Calibri"/>
      <w:b/>
      <w:bCs/>
      <w:i/>
      <w:iCs/>
      <w:color w:val="4F81BD"/>
      <w:sz w:val="22"/>
      <w:szCs w:val="22"/>
    </w:rPr>
  </w:style>
  <w:style w:type="character" w:customStyle="1" w:styleId="LightShading-Accent2Char">
    <w:name w:val="Light Shading - Accent 2 Char"/>
    <w:link w:val="LightShading-Accent21"/>
    <w:uiPriority w:val="60"/>
    <w:rsid w:val="00CE2146"/>
    <w:rPr>
      <w:rFonts w:ascii="Calibri" w:eastAsia="Calibri" w:hAnsi="Calibri"/>
      <w:b/>
      <w:bCs/>
      <w:i/>
      <w:iCs/>
      <w:color w:val="4F81BD"/>
      <w:sz w:val="22"/>
      <w:szCs w:val="22"/>
    </w:rPr>
  </w:style>
  <w:style w:type="paragraph" w:customStyle="1" w:styleId="ColorfulShading-Accent12">
    <w:name w:val="Colorful Shading - Accent 12"/>
    <w:hidden/>
    <w:uiPriority w:val="99"/>
    <w:rsid w:val="00CE2146"/>
    <w:rPr>
      <w:rFonts w:ascii="Calibri" w:eastAsia="Calibri" w:hAnsi="Calibri" w:cs="Calibri"/>
      <w:sz w:val="22"/>
      <w:szCs w:val="22"/>
    </w:rPr>
  </w:style>
  <w:style w:type="paragraph" w:styleId="ListParagraph">
    <w:name w:val="List Paragraph"/>
    <w:aliases w:val="Bullet List,FooterText,List Paragraph1"/>
    <w:basedOn w:val="Normal"/>
    <w:link w:val="ListParagraphChar"/>
    <w:uiPriority w:val="34"/>
    <w:qFormat/>
    <w:rsid w:val="00745AE4"/>
    <w:pPr>
      <w:spacing w:after="200" w:line="276" w:lineRule="auto"/>
      <w:ind w:left="720"/>
      <w:contextualSpacing/>
    </w:pPr>
    <w:rPr>
      <w:rFonts w:ascii="Cambria" w:eastAsia="Cambria" w:hAnsi="Cambria"/>
      <w:sz w:val="22"/>
      <w:szCs w:val="22"/>
    </w:rPr>
  </w:style>
  <w:style w:type="character" w:customStyle="1" w:styleId="ListParagraphChar">
    <w:name w:val="List Paragraph Char"/>
    <w:aliases w:val="Bullet List Char,FooterText Char,List Paragraph1 Char"/>
    <w:basedOn w:val="DefaultParagraphFont"/>
    <w:link w:val="ListParagraph"/>
    <w:uiPriority w:val="34"/>
    <w:locked/>
    <w:rsid w:val="00745AE4"/>
    <w:rPr>
      <w:rFonts w:ascii="Cambria" w:eastAsia="Cambria" w:hAnsi="Cambria" w:cs="Times New Roman"/>
      <w:sz w:val="22"/>
      <w:szCs w:val="22"/>
    </w:rPr>
  </w:style>
  <w:style w:type="character" w:styleId="Emphasis">
    <w:name w:val="Emphasis"/>
    <w:basedOn w:val="DefaultParagraphFont"/>
    <w:uiPriority w:val="20"/>
    <w:qFormat/>
    <w:rsid w:val="00745AE4"/>
    <w:rPr>
      <w:i/>
      <w:iCs/>
    </w:rPr>
  </w:style>
  <w:style w:type="character" w:customStyle="1" w:styleId="apple-converted-space">
    <w:name w:val="apple-converted-space"/>
    <w:basedOn w:val="DefaultParagraphFont"/>
    <w:rsid w:val="00745AE4"/>
  </w:style>
  <w:style w:type="paragraph" w:styleId="Revision">
    <w:name w:val="Revision"/>
    <w:hidden/>
    <w:uiPriority w:val="99"/>
    <w:rsid w:val="00745AE4"/>
    <w:rPr>
      <w:rFonts w:ascii="Cambria" w:eastAsia="Cambria" w:hAnsi="Cambria"/>
      <w:sz w:val="22"/>
      <w:szCs w:val="22"/>
    </w:rPr>
  </w:style>
  <w:style w:type="character" w:customStyle="1" w:styleId="acknowledgment-journal-title">
    <w:name w:val="acknowledgment-journal-title"/>
    <w:basedOn w:val="DefaultParagraphFont"/>
    <w:rsid w:val="00745AE4"/>
  </w:style>
  <w:style w:type="character" w:customStyle="1" w:styleId="A1">
    <w:name w:val="A1"/>
    <w:uiPriority w:val="99"/>
    <w:rsid w:val="00745AE4"/>
    <w:rPr>
      <w:rFonts w:cs="Proxima Nova Rg"/>
      <w:color w:val="000000"/>
      <w:sz w:val="20"/>
      <w:szCs w:val="20"/>
    </w:rPr>
  </w:style>
  <w:style w:type="character" w:customStyle="1" w:styleId="meta-citation">
    <w:name w:val="meta-citation"/>
    <w:basedOn w:val="DefaultParagraphFont"/>
    <w:rsid w:val="00745AE4"/>
  </w:style>
  <w:style w:type="character" w:customStyle="1" w:styleId="codevalue">
    <w:name w:val="codevalue"/>
    <w:basedOn w:val="DefaultParagraphFont"/>
    <w:rsid w:val="00D62DA9"/>
  </w:style>
  <w:style w:type="character" w:customStyle="1" w:styleId="UnresolvedMention1">
    <w:name w:val="Unresolved Mention1"/>
    <w:basedOn w:val="DefaultParagraphFont"/>
    <w:uiPriority w:val="99"/>
    <w:semiHidden/>
    <w:unhideWhenUsed/>
    <w:rsid w:val="00D62DA9"/>
    <w:rPr>
      <w:color w:val="605E5C"/>
      <w:shd w:val="clear" w:color="auto" w:fill="E1DFDD"/>
    </w:rPr>
  </w:style>
  <w:style w:type="character" w:styleId="UnresolvedMention">
    <w:name w:val="Unresolved Mention"/>
    <w:basedOn w:val="DefaultParagraphFont"/>
    <w:uiPriority w:val="99"/>
    <w:semiHidden/>
    <w:unhideWhenUsed/>
    <w:rsid w:val="00D62DA9"/>
    <w:rPr>
      <w:color w:val="605E5C"/>
      <w:shd w:val="clear" w:color="auto" w:fill="E1DFDD"/>
    </w:rPr>
  </w:style>
  <w:style w:type="paragraph" w:customStyle="1" w:styleId="MainBodyCopy">
    <w:name w:val="Main Body Copy"/>
    <w:basedOn w:val="NoSpacing"/>
    <w:qFormat/>
    <w:rsid w:val="00D62DA9"/>
    <w:pPr>
      <w:spacing w:after="240" w:line="276" w:lineRule="auto"/>
      <w:ind w:left="-360"/>
    </w:pPr>
    <w:rPr>
      <w:rFonts w:ascii="Times New Roman" w:eastAsiaTheme="minorHAnsi"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yperlink" Target="https://smartgrowthamerica.org/resources/introduction-to-complete-streets/?download=yes&amp;key=42718492"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changelabsolutions.org/publications/complete-streets-res-local-gov"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old.smartgrowthamerica.org/complete-streets/implementation/measuring-performance"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fhwa.dot.gov/environment/bicycle_pedestrian/publications/performance_measures_guidebook/pm_guidebook.pdf" TargetMode="External"/><Relationship Id="rId4" Type="http://schemas.openxmlformats.org/officeDocument/2006/relationships/settings" Target="settings.xml"/><Relationship Id="rId9" Type="http://schemas.openxmlformats.org/officeDocument/2006/relationships/hyperlink" Target="http://www.pedbikesafe.org/PEDSAFE/countermeasures.cfm"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changelabsolutions.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D9EE70-A21B-A345-ABB0-FF0EA78510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19115</Words>
  <Characters>108958</Characters>
  <Application>Microsoft Office Word</Application>
  <DocSecurity>0</DocSecurity>
  <Lines>907</Lines>
  <Paragraphs>255</Paragraphs>
  <ScaleCrop>false</ScaleCrop>
  <HeadingPairs>
    <vt:vector size="2" baseType="variant">
      <vt:variant>
        <vt:lpstr>Title</vt:lpstr>
      </vt:variant>
      <vt:variant>
        <vt:i4>1</vt:i4>
      </vt:variant>
    </vt:vector>
  </HeadingPairs>
  <TitlesOfParts>
    <vt:vector size="1" baseType="lpstr">
      <vt:lpstr>Model Healthy Beverage Vending Agreement</vt:lpstr>
    </vt:vector>
  </TitlesOfParts>
  <Company>sk design</Company>
  <LinksUpToDate>false</LinksUpToDate>
  <CharactersWithSpaces>127818</CharactersWithSpaces>
  <SharedDoc>false</SharedDoc>
  <HLinks>
    <vt:vector size="228" baseType="variant">
      <vt:variant>
        <vt:i4>1638427</vt:i4>
      </vt:variant>
      <vt:variant>
        <vt:i4>18</vt:i4>
      </vt:variant>
      <vt:variant>
        <vt:i4>0</vt:i4>
      </vt:variant>
      <vt:variant>
        <vt:i4>5</vt:i4>
      </vt:variant>
      <vt:variant>
        <vt:lpwstr>http://www.changelabsolutions.org/publications/healthy-housing-laws-work</vt:lpwstr>
      </vt:variant>
      <vt:variant>
        <vt:lpwstr/>
      </vt:variant>
      <vt:variant>
        <vt:i4>2424903</vt:i4>
      </vt:variant>
      <vt:variant>
        <vt:i4>15</vt:i4>
      </vt:variant>
      <vt:variant>
        <vt:i4>0</vt:i4>
      </vt:variant>
      <vt:variant>
        <vt:i4>5</vt:i4>
      </vt:variant>
      <vt:variant>
        <vt:lpwstr>http://www.changelabsolutions.org/publications/PRI-programs</vt:lpwstr>
      </vt:variant>
      <vt:variant>
        <vt:lpwstr/>
      </vt:variant>
      <vt:variant>
        <vt:i4>2424862</vt:i4>
      </vt:variant>
      <vt:variant>
        <vt:i4>12</vt:i4>
      </vt:variant>
      <vt:variant>
        <vt:i4>0</vt:i4>
      </vt:variant>
      <vt:variant>
        <vt:i4>5</vt:i4>
      </vt:variant>
      <vt:variant>
        <vt:lpwstr>http://changelabsolutions.org/publications/PRI-programs</vt:lpwstr>
      </vt:variant>
      <vt:variant>
        <vt:lpwstr/>
      </vt:variant>
      <vt:variant>
        <vt:i4>2949244</vt:i4>
      </vt:variant>
      <vt:variant>
        <vt:i4>9</vt:i4>
      </vt:variant>
      <vt:variant>
        <vt:i4>0</vt:i4>
      </vt:variant>
      <vt:variant>
        <vt:i4>5</vt:i4>
      </vt:variant>
      <vt:variant>
        <vt:lpwstr>http://www.racialequityalliance.org/resources/contracting-equity-best-local-government-practices-advance-racial-equity-government-contracting-procurement/</vt:lpwstr>
      </vt:variant>
      <vt:variant>
        <vt:lpwstr/>
      </vt:variant>
      <vt:variant>
        <vt:i4>1048694</vt:i4>
      </vt:variant>
      <vt:variant>
        <vt:i4>6</vt:i4>
      </vt:variant>
      <vt:variant>
        <vt:i4>0</vt:i4>
      </vt:variant>
      <vt:variant>
        <vt:i4>5</vt:i4>
      </vt:variant>
      <vt:variant>
        <vt:lpwstr>file:///C:/Users/mkapp/Desktop/goodfoodpurchasing.org</vt:lpwstr>
      </vt:variant>
      <vt:variant>
        <vt:lpwstr/>
      </vt:variant>
      <vt:variant>
        <vt:i4>4390995</vt:i4>
      </vt:variant>
      <vt:variant>
        <vt:i4>3</vt:i4>
      </vt:variant>
      <vt:variant>
        <vt:i4>0</vt:i4>
      </vt:variant>
      <vt:variant>
        <vt:i4>5</vt:i4>
      </vt:variant>
      <vt:variant>
        <vt:lpwstr>http://www.racialequityalliance.org/</vt:lpwstr>
      </vt:variant>
      <vt:variant>
        <vt:lpwstr/>
      </vt:variant>
      <vt:variant>
        <vt:i4>3866643</vt:i4>
      </vt:variant>
      <vt:variant>
        <vt:i4>0</vt:i4>
      </vt:variant>
      <vt:variant>
        <vt:i4>0</vt:i4>
      </vt:variant>
      <vt:variant>
        <vt:i4>5</vt:i4>
      </vt:variant>
      <vt:variant>
        <vt:lpwstr>https://www.cdc.gov/obesity/strategies/food-serv-guide.html</vt:lpwstr>
      </vt:variant>
      <vt:variant>
        <vt:lpwstr/>
      </vt:variant>
      <vt:variant>
        <vt:i4>65581</vt:i4>
      </vt:variant>
      <vt:variant>
        <vt:i4>0</vt:i4>
      </vt:variant>
      <vt:variant>
        <vt:i4>0</vt:i4>
      </vt:variant>
      <vt:variant>
        <vt:i4>5</vt:i4>
      </vt:variant>
      <vt:variant>
        <vt:lpwstr>http://www.changelabsolutions.org</vt:lpwstr>
      </vt:variant>
      <vt:variant>
        <vt:lpwstr/>
      </vt:variant>
      <vt:variant>
        <vt:i4>7077898</vt:i4>
      </vt:variant>
      <vt:variant>
        <vt:i4>87</vt:i4>
      </vt:variant>
      <vt:variant>
        <vt:i4>0</vt:i4>
      </vt:variant>
      <vt:variant>
        <vt:i4>5</vt:i4>
      </vt:variant>
      <vt:variant>
        <vt:lpwstr>http://portal.cityofsacramento.org/~/media/Files/CDD/Code Compliance/Programs/Rental Housing/RHIPTenantConsent2-7-2012.ashx</vt:lpwstr>
      </vt:variant>
      <vt:variant>
        <vt:lpwstr/>
      </vt:variant>
      <vt:variant>
        <vt:i4>2228225</vt:i4>
      </vt:variant>
      <vt:variant>
        <vt:i4>84</vt:i4>
      </vt:variant>
      <vt:variant>
        <vt:i4>0</vt:i4>
      </vt:variant>
      <vt:variant>
        <vt:i4>5</vt:i4>
      </vt:variant>
      <vt:variant>
        <vt:lpwstr>http://www.rha.org/displaycommon.cfm?an=1&amp;subarticlenbr=213</vt:lpwstr>
      </vt:variant>
      <vt:variant>
        <vt:lpwstr/>
      </vt:variant>
      <vt:variant>
        <vt:i4>6029348</vt:i4>
      </vt:variant>
      <vt:variant>
        <vt:i4>81</vt:i4>
      </vt:variant>
      <vt:variant>
        <vt:i4>0</vt:i4>
      </vt:variant>
      <vt:variant>
        <vt:i4>5</vt:i4>
      </vt:variant>
      <vt:variant>
        <vt:lpwstr>http://www.nchh.org//Portals/0/Contents/Interior_and_Exterior_2009_National.pdf</vt:lpwstr>
      </vt:variant>
      <vt:variant>
        <vt:lpwstr/>
      </vt:variant>
      <vt:variant>
        <vt:i4>7340105</vt:i4>
      </vt:variant>
      <vt:variant>
        <vt:i4>78</vt:i4>
      </vt:variant>
      <vt:variant>
        <vt:i4>0</vt:i4>
      </vt:variant>
      <vt:variant>
        <vt:i4>5</vt:i4>
      </vt:variant>
      <vt:variant>
        <vt:lpwstr>http://grcity.us/community-development/Code-Compliance-Division/Pages/Rental and Vacant Property FAQ's.aspx</vt:lpwstr>
      </vt:variant>
      <vt:variant>
        <vt:lpwstr/>
      </vt:variant>
      <vt:variant>
        <vt:i4>7012412</vt:i4>
      </vt:variant>
      <vt:variant>
        <vt:i4>75</vt:i4>
      </vt:variant>
      <vt:variant>
        <vt:i4>0</vt:i4>
      </vt:variant>
      <vt:variant>
        <vt:i4>5</vt:i4>
      </vt:variant>
      <vt:variant>
        <vt:lpwstr>http://dcra.dc.gov/book/about-proactive-inspections/what-proactive-inspections-program</vt:lpwstr>
      </vt:variant>
      <vt:variant>
        <vt:lpwstr/>
      </vt:variant>
      <vt:variant>
        <vt:i4>8061037</vt:i4>
      </vt:variant>
      <vt:variant>
        <vt:i4>72</vt:i4>
      </vt:variant>
      <vt:variant>
        <vt:i4>0</vt:i4>
      </vt:variant>
      <vt:variant>
        <vt:i4>5</vt:i4>
      </vt:variant>
      <vt:variant>
        <vt:lpwstr>http://sacramento.granicus.com/MetaViewer.php?meta_id=67355&amp;view=&amp;showpdf=1</vt:lpwstr>
      </vt:variant>
      <vt:variant>
        <vt:lpwstr/>
      </vt:variant>
      <vt:variant>
        <vt:i4>5636149</vt:i4>
      </vt:variant>
      <vt:variant>
        <vt:i4>69</vt:i4>
      </vt:variant>
      <vt:variant>
        <vt:i4>0</vt:i4>
      </vt:variant>
      <vt:variant>
        <vt:i4>5</vt:i4>
      </vt:variant>
      <vt:variant>
        <vt:lpwstr>http://198.246.124.22/healthyplaces/articles/the_built_environment_and_children_health.pdf</vt:lpwstr>
      </vt:variant>
      <vt:variant>
        <vt:lpwstr/>
      </vt:variant>
      <vt:variant>
        <vt:i4>6750272</vt:i4>
      </vt:variant>
      <vt:variant>
        <vt:i4>66</vt:i4>
      </vt:variant>
      <vt:variant>
        <vt:i4>0</vt:i4>
      </vt:variant>
      <vt:variant>
        <vt:i4>5</vt:i4>
      </vt:variant>
      <vt:variant>
        <vt:lpwstr>http://dcra.dc.gov/sites/default/files/dc/sites/dcra/publication/attachments/DCRA Proactive Housing Inspections Program  12_16_09.pdf</vt:lpwstr>
      </vt:variant>
      <vt:variant>
        <vt:lpwstr/>
      </vt:variant>
      <vt:variant>
        <vt:i4>5570642</vt:i4>
      </vt:variant>
      <vt:variant>
        <vt:i4>63</vt:i4>
      </vt:variant>
      <vt:variant>
        <vt:i4>0</vt:i4>
      </vt:variant>
      <vt:variant>
        <vt:i4>5</vt:i4>
      </vt:variant>
      <vt:variant>
        <vt:lpwstr>http://portal.hud.gov/hudportal/HUD?src=/program_offices/healthy_homes/advhh</vt:lpwstr>
      </vt:variant>
      <vt:variant>
        <vt:lpwstr/>
      </vt:variant>
      <vt:variant>
        <vt:i4>5636119</vt:i4>
      </vt:variant>
      <vt:variant>
        <vt:i4>60</vt:i4>
      </vt:variant>
      <vt:variant>
        <vt:i4>0</vt:i4>
      </vt:variant>
      <vt:variant>
        <vt:i4>5</vt:i4>
      </vt:variant>
      <vt:variant>
        <vt:lpwstr>http://frac.org/obesity-health/low-income-food-insecure-people-vulnerable-poor-nutrition-obesity</vt:lpwstr>
      </vt:variant>
      <vt:variant>
        <vt:lpwstr/>
      </vt:variant>
      <vt:variant>
        <vt:i4>6815858</vt:i4>
      </vt:variant>
      <vt:variant>
        <vt:i4>57</vt:i4>
      </vt:variant>
      <vt:variant>
        <vt:i4>0</vt:i4>
      </vt:variant>
      <vt:variant>
        <vt:i4>5</vt:i4>
      </vt:variant>
      <vt:variant>
        <vt:lpwstr>https://www.cdc.gov/pcd/issues/2009/jul/08_0163.htm</vt:lpwstr>
      </vt:variant>
      <vt:variant>
        <vt:lpwstr/>
      </vt:variant>
      <vt:variant>
        <vt:i4>5177414</vt:i4>
      </vt:variant>
      <vt:variant>
        <vt:i4>54</vt:i4>
      </vt:variant>
      <vt:variant>
        <vt:i4>0</vt:i4>
      </vt:variant>
      <vt:variant>
        <vt:i4>5</vt:i4>
      </vt:variant>
      <vt:variant>
        <vt:lpwstr>https://www.ers.usda.gov/topics/food-choices-health/food-consumption-demand/food-away-from-home.aspx</vt:lpwstr>
      </vt:variant>
      <vt:variant>
        <vt:lpwstr/>
      </vt:variant>
      <vt:variant>
        <vt:i4>8192001</vt:i4>
      </vt:variant>
      <vt:variant>
        <vt:i4>51</vt:i4>
      </vt:variant>
      <vt:variant>
        <vt:i4>0</vt:i4>
      </vt:variant>
      <vt:variant>
        <vt:i4>5</vt:i4>
      </vt:variant>
      <vt:variant>
        <vt:lpwstr>http://dx.doi.org/10.1016/S2213-8587(14)70161-5</vt:lpwstr>
      </vt:variant>
      <vt:variant>
        <vt:lpwstr/>
      </vt:variant>
      <vt:variant>
        <vt:i4>2031680</vt:i4>
      </vt:variant>
      <vt:variant>
        <vt:i4>48</vt:i4>
      </vt:variant>
      <vt:variant>
        <vt:i4>0</vt:i4>
      </vt:variant>
      <vt:variant>
        <vt:i4>5</vt:i4>
      </vt:variant>
      <vt:variant>
        <vt:lpwstr>https://www.cdc.gov/healthyweight/effects/index.html</vt:lpwstr>
      </vt:variant>
      <vt:variant>
        <vt:lpwstr/>
      </vt:variant>
      <vt:variant>
        <vt:i4>2228291</vt:i4>
      </vt:variant>
      <vt:variant>
        <vt:i4>45</vt:i4>
      </vt:variant>
      <vt:variant>
        <vt:i4>0</vt:i4>
      </vt:variant>
      <vt:variant>
        <vt:i4>5</vt:i4>
      </vt:variant>
      <vt:variant>
        <vt:lpwstr>http://www.hsph.harvard.edu/obesity-prevention-source/obesity-consequences/</vt:lpwstr>
      </vt:variant>
      <vt:variant>
        <vt:lpwstr/>
      </vt:variant>
      <vt:variant>
        <vt:i4>1769588</vt:i4>
      </vt:variant>
      <vt:variant>
        <vt:i4>42</vt:i4>
      </vt:variant>
      <vt:variant>
        <vt:i4>0</vt:i4>
      </vt:variant>
      <vt:variant>
        <vt:i4>5</vt:i4>
      </vt:variant>
      <vt:variant>
        <vt:lpwstr>https://www.niddk.nih.gov/health-information/health-statistics/overweight-obesity</vt:lpwstr>
      </vt:variant>
      <vt:variant>
        <vt:lpwstr/>
      </vt:variant>
      <vt:variant>
        <vt:i4>6029434</vt:i4>
      </vt:variant>
      <vt:variant>
        <vt:i4>39</vt:i4>
      </vt:variant>
      <vt:variant>
        <vt:i4>0</vt:i4>
      </vt:variant>
      <vt:variant>
        <vt:i4>5</vt:i4>
      </vt:variant>
      <vt:variant>
        <vt:lpwstr>http://digitalscholarship.unlv.edu/jhdrp/vol3/iss2/7/</vt:lpwstr>
      </vt:variant>
      <vt:variant>
        <vt:lpwstr/>
      </vt:variant>
      <vt:variant>
        <vt:i4>5636209</vt:i4>
      </vt:variant>
      <vt:variant>
        <vt:i4>36</vt:i4>
      </vt:variant>
      <vt:variant>
        <vt:i4>0</vt:i4>
      </vt:variant>
      <vt:variant>
        <vt:i4>5</vt:i4>
      </vt:variant>
      <vt:variant>
        <vt:lpwstr>http://stateofobesity.org/disparities</vt:lpwstr>
      </vt:variant>
      <vt:variant>
        <vt:lpwstr/>
      </vt:variant>
      <vt:variant>
        <vt:i4>4980824</vt:i4>
      </vt:variant>
      <vt:variant>
        <vt:i4>33</vt:i4>
      </vt:variant>
      <vt:variant>
        <vt:i4>0</vt:i4>
      </vt:variant>
      <vt:variant>
        <vt:i4>5</vt:i4>
      </vt:variant>
      <vt:variant>
        <vt:lpwstr>http://www.gallup.com/poll/164513/income-not-food-deserts-blame-obesity.aspx</vt:lpwstr>
      </vt:variant>
      <vt:variant>
        <vt:lpwstr/>
      </vt:variant>
      <vt:variant>
        <vt:i4>1966188</vt:i4>
      </vt:variant>
      <vt:variant>
        <vt:i4>30</vt:i4>
      </vt:variant>
      <vt:variant>
        <vt:i4>0</vt:i4>
      </vt:variant>
      <vt:variant>
        <vt:i4>5</vt:i4>
      </vt:variant>
      <vt:variant>
        <vt:lpwstr>http://www.sciencedaily.com/releases/2008/02/080207163807.htm</vt:lpwstr>
      </vt:variant>
      <vt:variant>
        <vt:lpwstr/>
      </vt:variant>
      <vt:variant>
        <vt:i4>1245294</vt:i4>
      </vt:variant>
      <vt:variant>
        <vt:i4>27</vt:i4>
      </vt:variant>
      <vt:variant>
        <vt:i4>0</vt:i4>
      </vt:variant>
      <vt:variant>
        <vt:i4>5</vt:i4>
      </vt:variant>
      <vt:variant>
        <vt:lpwstr>http://ajcn.nutrition.org/content/70/1/145s.full.pdf+html</vt:lpwstr>
      </vt:variant>
      <vt:variant>
        <vt:lpwstr/>
      </vt:variant>
      <vt:variant>
        <vt:i4>4063261</vt:i4>
      </vt:variant>
      <vt:variant>
        <vt:i4>24</vt:i4>
      </vt:variant>
      <vt:variant>
        <vt:i4>0</vt:i4>
      </vt:variant>
      <vt:variant>
        <vt:i4>5</vt:i4>
      </vt:variant>
      <vt:variant>
        <vt:lpwstr>http://www.ncbi.nlm.nih.gov/pubmed/12897303</vt:lpwstr>
      </vt:variant>
      <vt:variant>
        <vt:lpwstr/>
      </vt:variant>
      <vt:variant>
        <vt:i4>2031619</vt:i4>
      </vt:variant>
      <vt:variant>
        <vt:i4>21</vt:i4>
      </vt:variant>
      <vt:variant>
        <vt:i4>0</vt:i4>
      </vt:variant>
      <vt:variant>
        <vt:i4>5</vt:i4>
      </vt:variant>
      <vt:variant>
        <vt:lpwstr>http://www.niddk.nih.gov/health-information/health-statistics/overweight-obesity</vt:lpwstr>
      </vt:variant>
      <vt:variant>
        <vt:lpwstr/>
      </vt:variant>
      <vt:variant>
        <vt:i4>6881289</vt:i4>
      </vt:variant>
      <vt:variant>
        <vt:i4>18</vt:i4>
      </vt:variant>
      <vt:variant>
        <vt:i4>0</vt:i4>
      </vt:variant>
      <vt:variant>
        <vt:i4>5</vt:i4>
      </vt:variant>
      <vt:variant>
        <vt:lpwstr>https://www.cdc.gov/nchs/fastats/obesity-overweight.htm</vt:lpwstr>
      </vt:variant>
      <vt:variant>
        <vt:lpwstr/>
      </vt:variant>
      <vt:variant>
        <vt:i4>6946890</vt:i4>
      </vt:variant>
      <vt:variant>
        <vt:i4>15</vt:i4>
      </vt:variant>
      <vt:variant>
        <vt:i4>0</vt:i4>
      </vt:variant>
      <vt:variant>
        <vt:i4>5</vt:i4>
      </vt:variant>
      <vt:variant>
        <vt:lpwstr>http://www.hsph.harvard.edu/obesity-prevention-source/obesity-trends/global-obesity-trends-in-children/</vt:lpwstr>
      </vt:variant>
      <vt:variant>
        <vt:lpwstr/>
      </vt:variant>
      <vt:variant>
        <vt:i4>7995438</vt:i4>
      </vt:variant>
      <vt:variant>
        <vt:i4>12</vt:i4>
      </vt:variant>
      <vt:variant>
        <vt:i4>0</vt:i4>
      </vt:variant>
      <vt:variant>
        <vt:i4>5</vt:i4>
      </vt:variant>
      <vt:variant>
        <vt:lpwstr>http://www.cdc.gov/healthyyouth/npao/schoolenvironment.htm</vt:lpwstr>
      </vt:variant>
      <vt:variant>
        <vt:lpwstr/>
      </vt:variant>
      <vt:variant>
        <vt:i4>3014776</vt:i4>
      </vt:variant>
      <vt:variant>
        <vt:i4>9</vt:i4>
      </vt:variant>
      <vt:variant>
        <vt:i4>0</vt:i4>
      </vt:variant>
      <vt:variant>
        <vt:i4>5</vt:i4>
      </vt:variant>
      <vt:variant>
        <vt:lpwstr>http://goodfoodpurchasing.org/</vt:lpwstr>
      </vt:variant>
      <vt:variant>
        <vt:lpwstr/>
      </vt:variant>
      <vt:variant>
        <vt:i4>3539013</vt:i4>
      </vt:variant>
      <vt:variant>
        <vt:i4>6</vt:i4>
      </vt:variant>
      <vt:variant>
        <vt:i4>0</vt:i4>
      </vt:variant>
      <vt:variant>
        <vt:i4>5</vt:i4>
      </vt:variant>
      <vt:variant>
        <vt:lpwstr>http://racialequityalliance.org/wp-content/uploads/2015/12/GARE-Contract_For_Equity.pdf</vt:lpwstr>
      </vt:variant>
      <vt:variant>
        <vt:lpwstr/>
      </vt:variant>
      <vt:variant>
        <vt:i4>4718715</vt:i4>
      </vt:variant>
      <vt:variant>
        <vt:i4>3</vt:i4>
      </vt:variant>
      <vt:variant>
        <vt:i4>0</vt:i4>
      </vt:variant>
      <vt:variant>
        <vt:i4>5</vt:i4>
      </vt:variant>
      <vt:variant>
        <vt:lpwstr>http://www.rwjf.org/en/library/research/2012/12/how-does-employment--or-unemployment--affect-health-.html</vt:lpwstr>
      </vt:variant>
      <vt:variant>
        <vt:lpwstr/>
      </vt:variant>
      <vt:variant>
        <vt:i4>5177414</vt:i4>
      </vt:variant>
      <vt:variant>
        <vt:i4>0</vt:i4>
      </vt:variant>
      <vt:variant>
        <vt:i4>0</vt:i4>
      </vt:variant>
      <vt:variant>
        <vt:i4>5</vt:i4>
      </vt:variant>
      <vt:variant>
        <vt:lpwstr>https://www.ers.usda.gov/topics/food-choices-health/food-consumption-demand/food-away-from-home.aspx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Healthy Beverage Vending Agreement</dc:title>
  <dc:subject/>
  <dc:creator>SANDRA KOENIG</dc:creator>
  <cp:keywords/>
  <cp:lastModifiedBy>Sandra Koenig</cp:lastModifiedBy>
  <cp:revision>2</cp:revision>
  <cp:lastPrinted>2018-11-30T18:42:00Z</cp:lastPrinted>
  <dcterms:created xsi:type="dcterms:W3CDTF">2018-11-30T20:36:00Z</dcterms:created>
  <dcterms:modified xsi:type="dcterms:W3CDTF">2018-11-30T20:36:00Z</dcterms:modified>
</cp:coreProperties>
</file>